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B196" w14:textId="0E73A825" w:rsidR="00557C26" w:rsidRDefault="00557C26" w:rsidP="00557C26">
      <w:pPr>
        <w:pStyle w:val="KeinLeerraum"/>
        <w:ind w:left="360"/>
        <w:rPr>
          <w:b/>
          <w:sz w:val="36"/>
        </w:rPr>
      </w:pPr>
      <w:r>
        <w:rPr>
          <w:b/>
          <w:sz w:val="36"/>
        </w:rPr>
        <w:t>Information zum</w:t>
      </w:r>
      <w:r w:rsidRPr="00273B58">
        <w:rPr>
          <w:b/>
          <w:sz w:val="36"/>
        </w:rPr>
        <w:t xml:space="preserve"> Versorgungsausgleich </w:t>
      </w:r>
    </w:p>
    <w:p w14:paraId="48D01DCA" w14:textId="77777777" w:rsidR="00557C26" w:rsidRDefault="00557C26" w:rsidP="00557C26">
      <w:pPr>
        <w:pStyle w:val="KeinLeerraum"/>
        <w:ind w:left="360"/>
        <w:rPr>
          <w:b/>
          <w:sz w:val="21"/>
          <w:szCs w:val="21"/>
        </w:rPr>
      </w:pPr>
    </w:p>
    <w:p w14:paraId="6F24F40E" w14:textId="03720901" w:rsidR="00557C26" w:rsidRDefault="00557C26" w:rsidP="00557C26">
      <w:pPr>
        <w:pStyle w:val="KeinLeerraum"/>
        <w:ind w:left="360"/>
        <w:rPr>
          <w:b/>
          <w:sz w:val="21"/>
          <w:szCs w:val="21"/>
        </w:rPr>
      </w:pPr>
      <w:r w:rsidRPr="001B2D37">
        <w:rPr>
          <w:b/>
          <w:sz w:val="21"/>
          <w:szCs w:val="21"/>
        </w:rPr>
        <w:t>Vorbemerkung</w:t>
      </w:r>
    </w:p>
    <w:p w14:paraId="77B3BF02" w14:textId="77777777" w:rsidR="00557C26" w:rsidRDefault="00557C26" w:rsidP="00557C26">
      <w:pPr>
        <w:pStyle w:val="KeinLeerraum"/>
        <w:ind w:left="360"/>
        <w:rPr>
          <w:b/>
          <w:sz w:val="21"/>
          <w:szCs w:val="21"/>
        </w:rPr>
      </w:pPr>
    </w:p>
    <w:p w14:paraId="57E0493B" w14:textId="77777777" w:rsidR="00C50915" w:rsidRDefault="00557C26" w:rsidP="00557C26">
      <w:pPr>
        <w:pStyle w:val="KeinLeerraum"/>
        <w:ind w:left="0" w:firstLine="0"/>
        <w:rPr>
          <w:bCs/>
          <w:sz w:val="21"/>
          <w:szCs w:val="21"/>
        </w:rPr>
      </w:pPr>
      <w:r w:rsidRPr="001B2D37">
        <w:rPr>
          <w:bCs/>
          <w:sz w:val="21"/>
          <w:szCs w:val="21"/>
        </w:rPr>
        <w:t>Die „</w:t>
      </w:r>
      <w:r w:rsidRPr="001B2D37">
        <w:rPr>
          <w:bCs/>
          <w:i/>
          <w:iCs/>
          <w:sz w:val="21"/>
          <w:szCs w:val="21"/>
        </w:rPr>
        <w:t>Kaffeerunde Versorgungsausgleich</w:t>
      </w:r>
      <w:r w:rsidRPr="001B2D37">
        <w:rPr>
          <w:bCs/>
          <w:sz w:val="21"/>
          <w:szCs w:val="21"/>
        </w:rPr>
        <w:t>“</w:t>
      </w:r>
      <w:r>
        <w:rPr>
          <w:bCs/>
          <w:sz w:val="21"/>
          <w:szCs w:val="21"/>
        </w:rPr>
        <w:t xml:space="preserve"> ist Anfang 2022 von RA Jörn Hauß ins Leben gerufen worden. Seitdem tagt sie </w:t>
      </w:r>
      <w:r w:rsidRPr="003D2706">
        <w:rPr>
          <w:bCs/>
          <w:sz w:val="21"/>
          <w:szCs w:val="21"/>
        </w:rPr>
        <w:t xml:space="preserve">regelmäßig am 1. und 3. Mittwoch des Monats </w:t>
      </w:r>
      <w:r>
        <w:rPr>
          <w:bCs/>
          <w:sz w:val="21"/>
          <w:szCs w:val="21"/>
        </w:rPr>
        <w:t>als ausschließlich online</w:t>
      </w:r>
      <w:r w:rsidRPr="003D2706">
        <w:rPr>
          <w:bCs/>
          <w:sz w:val="21"/>
          <w:szCs w:val="21"/>
        </w:rPr>
        <w:t xml:space="preserve"> </w:t>
      </w:r>
      <w:r>
        <w:rPr>
          <w:bCs/>
          <w:sz w:val="21"/>
          <w:szCs w:val="21"/>
        </w:rPr>
        <w:t>stattfindende Austauschplattform. Alle Professionen, die mit dem Versorgungsausgleich befasst sind, also Rechtsanwält</w:t>
      </w:r>
      <w:r w:rsidR="004649A9">
        <w:rPr>
          <w:bCs/>
          <w:sz w:val="21"/>
          <w:szCs w:val="21"/>
        </w:rPr>
        <w:t>:innen</w:t>
      </w:r>
      <w:r>
        <w:rPr>
          <w:bCs/>
          <w:sz w:val="21"/>
          <w:szCs w:val="21"/>
        </w:rPr>
        <w:t>, Richter</w:t>
      </w:r>
      <w:r w:rsidR="004649A9">
        <w:rPr>
          <w:bCs/>
          <w:sz w:val="21"/>
          <w:szCs w:val="21"/>
        </w:rPr>
        <w:t>:innen</w:t>
      </w:r>
      <w:r>
        <w:rPr>
          <w:bCs/>
          <w:sz w:val="21"/>
          <w:szCs w:val="21"/>
        </w:rPr>
        <w:t>, Rentenberater</w:t>
      </w:r>
      <w:r w:rsidR="004649A9">
        <w:rPr>
          <w:bCs/>
          <w:sz w:val="21"/>
          <w:szCs w:val="21"/>
        </w:rPr>
        <w:t>:innen</w:t>
      </w:r>
      <w:r>
        <w:rPr>
          <w:bCs/>
          <w:sz w:val="21"/>
          <w:szCs w:val="21"/>
        </w:rPr>
        <w:t>, Versicherungsmathematiker</w:t>
      </w:r>
      <w:r w:rsidR="004649A9">
        <w:rPr>
          <w:bCs/>
          <w:sz w:val="21"/>
          <w:szCs w:val="21"/>
        </w:rPr>
        <w:t>:innen</w:t>
      </w:r>
      <w:r>
        <w:rPr>
          <w:bCs/>
          <w:sz w:val="21"/>
          <w:szCs w:val="21"/>
        </w:rPr>
        <w:t xml:space="preserve"> und Beschäftigte von Versorgungsträgern sind daran beteiligt. Diese Aufzählung ist nicht abschließend. Wenn Sie Interesse an einer Teilnahme haben, senden Sie eine Mail an: </w:t>
      </w:r>
    </w:p>
    <w:p w14:paraId="45B3AEBB" w14:textId="41B25320" w:rsidR="00557C26" w:rsidRDefault="00C50915" w:rsidP="00557C26">
      <w:pPr>
        <w:pStyle w:val="KeinLeerraum"/>
        <w:ind w:left="0" w:firstLine="0"/>
        <w:rPr>
          <w:bCs/>
          <w:sz w:val="21"/>
          <w:szCs w:val="21"/>
        </w:rPr>
      </w:pPr>
      <w:hyperlink r:id="rId6" w:history="1">
        <w:r w:rsidRPr="008D465F">
          <w:rPr>
            <w:rStyle w:val="Hyperlink"/>
            <w:bCs/>
            <w:sz w:val="21"/>
            <w:szCs w:val="21"/>
          </w:rPr>
          <w:t>hauss@anwaelte-du.de</w:t>
        </w:r>
      </w:hyperlink>
      <w:r w:rsidR="00557C26">
        <w:rPr>
          <w:bCs/>
          <w:sz w:val="21"/>
          <w:szCs w:val="21"/>
        </w:rPr>
        <w:t xml:space="preserve"> </w:t>
      </w:r>
    </w:p>
    <w:p w14:paraId="19431148" w14:textId="77777777" w:rsidR="00557C26" w:rsidRDefault="00557C26" w:rsidP="00557C26">
      <w:pPr>
        <w:pStyle w:val="KeinLeerraum"/>
        <w:ind w:left="0" w:firstLine="0"/>
        <w:rPr>
          <w:bCs/>
          <w:sz w:val="21"/>
          <w:szCs w:val="21"/>
        </w:rPr>
      </w:pPr>
    </w:p>
    <w:p w14:paraId="3CFAA65D" w14:textId="5E009231" w:rsidR="00557C26" w:rsidRDefault="00557C26" w:rsidP="00557C26">
      <w:pPr>
        <w:pStyle w:val="KeinLeerraum"/>
        <w:ind w:left="0" w:firstLine="0"/>
        <w:rPr>
          <w:bCs/>
          <w:sz w:val="21"/>
          <w:szCs w:val="21"/>
        </w:rPr>
      </w:pPr>
      <w:r>
        <w:rPr>
          <w:bCs/>
          <w:sz w:val="21"/>
          <w:szCs w:val="21"/>
        </w:rPr>
        <w:t>Innerhalb der Kaffeerunde ist die Idee entstanden, ein „</w:t>
      </w:r>
      <w:r w:rsidR="00C50915">
        <w:rPr>
          <w:bCs/>
          <w:sz w:val="21"/>
          <w:szCs w:val="21"/>
        </w:rPr>
        <w:t xml:space="preserve">Auftaktschreiben </w:t>
      </w:r>
      <w:r>
        <w:rPr>
          <w:bCs/>
          <w:sz w:val="21"/>
          <w:szCs w:val="21"/>
        </w:rPr>
        <w:t>Versorgungsausgleich“ zu entwickeln, das den mit den Folgen eines VA häufig überforderten Mandanten eine wichtige Hilfestellung bieten und den Bevollmächtigten ermöglicht, ihre Mandantschaft in dieser Hinsicht zu unterstützen.</w:t>
      </w:r>
    </w:p>
    <w:p w14:paraId="76CD01E4" w14:textId="77777777" w:rsidR="00557C26" w:rsidRDefault="00557C26" w:rsidP="00557C26">
      <w:pPr>
        <w:pStyle w:val="KeinLeerraum"/>
        <w:ind w:left="0" w:firstLine="0"/>
        <w:rPr>
          <w:bCs/>
          <w:sz w:val="21"/>
          <w:szCs w:val="21"/>
        </w:rPr>
      </w:pPr>
    </w:p>
    <w:p w14:paraId="31CE8C4D" w14:textId="77777777" w:rsidR="00557C26" w:rsidRDefault="00557C26" w:rsidP="00557C26">
      <w:pPr>
        <w:pStyle w:val="KeinLeerraum"/>
        <w:ind w:left="0" w:firstLine="0"/>
        <w:rPr>
          <w:bCs/>
          <w:sz w:val="21"/>
          <w:szCs w:val="21"/>
        </w:rPr>
      </w:pPr>
      <w:r>
        <w:rPr>
          <w:bCs/>
          <w:sz w:val="21"/>
          <w:szCs w:val="21"/>
        </w:rPr>
        <w:t>An dem Dokument haben u.a. mitgewirkt:</w:t>
      </w:r>
    </w:p>
    <w:p w14:paraId="5BE94535" w14:textId="77777777" w:rsidR="00557C26" w:rsidRDefault="00557C26" w:rsidP="00557C26">
      <w:pPr>
        <w:pStyle w:val="KeinLeerraum"/>
        <w:ind w:left="0" w:firstLine="0"/>
        <w:rPr>
          <w:bCs/>
          <w:sz w:val="21"/>
          <w:szCs w:val="21"/>
        </w:rPr>
      </w:pPr>
      <w:hyperlink r:id="rId7" w:history="1">
        <w:r w:rsidRPr="00D86E02">
          <w:rPr>
            <w:rStyle w:val="Hyperlink"/>
            <w:bCs/>
            <w:sz w:val="21"/>
            <w:szCs w:val="21"/>
          </w:rPr>
          <w:t>Jörn Hauß</w:t>
        </w:r>
      </w:hyperlink>
      <w:r>
        <w:rPr>
          <w:bCs/>
          <w:sz w:val="21"/>
          <w:szCs w:val="21"/>
        </w:rPr>
        <w:t>, Rechtsanwalt</w:t>
      </w:r>
    </w:p>
    <w:p w14:paraId="217C8944" w14:textId="77777777" w:rsidR="00557C26" w:rsidRDefault="00557C26" w:rsidP="00557C26">
      <w:pPr>
        <w:pStyle w:val="KeinLeerraum"/>
        <w:ind w:left="0" w:firstLine="0"/>
        <w:rPr>
          <w:bCs/>
          <w:sz w:val="21"/>
          <w:szCs w:val="21"/>
        </w:rPr>
      </w:pPr>
      <w:hyperlink r:id="rId8" w:history="1">
        <w:r w:rsidRPr="00D86E02">
          <w:rPr>
            <w:rStyle w:val="Hyperlink"/>
            <w:bCs/>
            <w:sz w:val="21"/>
            <w:szCs w:val="21"/>
          </w:rPr>
          <w:t>Thomas Neumann</w:t>
        </w:r>
      </w:hyperlink>
      <w:r>
        <w:rPr>
          <w:bCs/>
          <w:sz w:val="21"/>
          <w:szCs w:val="21"/>
        </w:rPr>
        <w:t>, Rentenberater</w:t>
      </w:r>
    </w:p>
    <w:p w14:paraId="4B4B99D5" w14:textId="77777777" w:rsidR="00557C26" w:rsidRDefault="00557C26" w:rsidP="00557C26">
      <w:pPr>
        <w:pStyle w:val="KeinLeerraum"/>
        <w:ind w:left="0" w:firstLine="0"/>
        <w:rPr>
          <w:bCs/>
          <w:sz w:val="21"/>
          <w:szCs w:val="21"/>
        </w:rPr>
      </w:pPr>
    </w:p>
    <w:p w14:paraId="2E594EAE" w14:textId="77777777" w:rsidR="00557C26" w:rsidRDefault="00557C26" w:rsidP="00557C26">
      <w:pPr>
        <w:pStyle w:val="KeinLeerraum"/>
        <w:ind w:left="0" w:firstLine="0"/>
        <w:rPr>
          <w:bCs/>
          <w:sz w:val="21"/>
          <w:szCs w:val="21"/>
        </w:rPr>
      </w:pPr>
      <w:r>
        <w:rPr>
          <w:bCs/>
          <w:sz w:val="21"/>
          <w:szCs w:val="21"/>
        </w:rPr>
        <w:t xml:space="preserve">Sie sind herzlich eingeladen, an der Fortentwicklung des Dokuments mitzuwirken. Senden Sie Ihre Anregungen an die oben schon angegeben E-Mail-Adresse. </w:t>
      </w:r>
    </w:p>
    <w:p w14:paraId="332C3BEF" w14:textId="77777777" w:rsidR="00557C26" w:rsidRDefault="00557C26" w:rsidP="00557C26">
      <w:pPr>
        <w:pStyle w:val="KeinLeerraum"/>
        <w:ind w:left="0" w:firstLine="0"/>
        <w:rPr>
          <w:bCs/>
          <w:sz w:val="21"/>
          <w:szCs w:val="21"/>
        </w:rPr>
      </w:pPr>
    </w:p>
    <w:p w14:paraId="430407AE" w14:textId="77777777" w:rsidR="00557C26" w:rsidRDefault="00557C26" w:rsidP="00557C26">
      <w:pPr>
        <w:pStyle w:val="KeinLeerraum"/>
        <w:ind w:left="0" w:firstLine="0"/>
        <w:rPr>
          <w:bCs/>
          <w:sz w:val="21"/>
          <w:szCs w:val="21"/>
        </w:rPr>
      </w:pPr>
      <w:bookmarkStart w:id="0" w:name="_Hlk161993145"/>
      <w:r>
        <w:rPr>
          <w:bCs/>
          <w:sz w:val="21"/>
          <w:szCs w:val="21"/>
        </w:rPr>
        <w:t>Dieses Dokument wird als editierbare Datei zur Verfügung gestellt. Sie können daher den Text entsprechend Ihren Bedürfnissen verändern.</w:t>
      </w:r>
    </w:p>
    <w:p w14:paraId="2052C8C6" w14:textId="77777777" w:rsidR="002A04B3" w:rsidRDefault="002A04B3" w:rsidP="00557C26">
      <w:pPr>
        <w:pStyle w:val="KeinLeerraum"/>
        <w:ind w:left="0" w:firstLine="0"/>
        <w:rPr>
          <w:bCs/>
          <w:sz w:val="21"/>
          <w:szCs w:val="21"/>
        </w:rPr>
      </w:pPr>
    </w:p>
    <w:p w14:paraId="0C5D4C4D" w14:textId="77777777" w:rsidR="002A04B3" w:rsidRDefault="002A04B3" w:rsidP="00557C26">
      <w:pPr>
        <w:pStyle w:val="KeinLeerraum"/>
        <w:ind w:left="0" w:firstLine="0"/>
        <w:rPr>
          <w:bCs/>
          <w:sz w:val="21"/>
          <w:szCs w:val="21"/>
        </w:rPr>
      </w:pPr>
    </w:p>
    <w:sdt>
      <w:sdtPr>
        <w:rPr>
          <w:rFonts w:ascii="Arial" w:eastAsiaTheme="minorHAnsi" w:hAnsi="Arial" w:cstheme="minorBidi"/>
          <w:color w:val="auto"/>
          <w:sz w:val="20"/>
          <w:szCs w:val="22"/>
          <w:lang w:eastAsia="en-US"/>
        </w:rPr>
        <w:id w:val="958838211"/>
        <w:docPartObj>
          <w:docPartGallery w:val="Table of Contents"/>
          <w:docPartUnique/>
        </w:docPartObj>
      </w:sdtPr>
      <w:sdtEndPr>
        <w:rPr>
          <w:b/>
          <w:bCs/>
        </w:rPr>
      </w:sdtEndPr>
      <w:sdtContent>
        <w:p w14:paraId="3940F963" w14:textId="41144D7A" w:rsidR="002A04B3" w:rsidRDefault="002A04B3">
          <w:pPr>
            <w:pStyle w:val="Inhaltsverzeichnisberschrift"/>
          </w:pPr>
          <w:r>
            <w:t>Inhalt</w:t>
          </w:r>
        </w:p>
        <w:p w14:paraId="2A9094EF" w14:textId="01AC6F18" w:rsidR="002A04B3" w:rsidRDefault="002A04B3" w:rsidP="002A04B3">
          <w:pPr>
            <w:pStyle w:val="Verzeichnis1"/>
            <w:numPr>
              <w:ilvl w:val="0"/>
              <w:numId w:val="0"/>
            </w:numPr>
            <w:tabs>
              <w:tab w:val="left" w:pos="480"/>
              <w:tab w:val="right" w:leader="dot" w:pos="9062"/>
            </w:tabs>
            <w:ind w:left="-360"/>
            <w:rPr>
              <w:noProof/>
            </w:rPr>
          </w:pPr>
          <w:r>
            <w:fldChar w:fldCharType="begin"/>
          </w:r>
          <w:r>
            <w:instrText xml:space="preserve"> TOC \o "1-3" \h \z \u </w:instrText>
          </w:r>
          <w:r>
            <w:fldChar w:fldCharType="separate"/>
          </w:r>
          <w:hyperlink w:anchor="_Toc187309147" w:history="1">
            <w:r w:rsidRPr="00366B09">
              <w:rPr>
                <w:rStyle w:val="Hyperlink"/>
                <w:noProof/>
              </w:rPr>
              <w:t>1.</w:t>
            </w:r>
            <w:r>
              <w:rPr>
                <w:noProof/>
              </w:rPr>
              <w:tab/>
            </w:r>
            <w:r w:rsidRPr="00366B09">
              <w:rPr>
                <w:rStyle w:val="Hyperlink"/>
                <w:noProof/>
              </w:rPr>
              <w:t>Was ist der Versorgungsausgleich?</w:t>
            </w:r>
            <w:r>
              <w:rPr>
                <w:noProof/>
                <w:webHidden/>
              </w:rPr>
              <w:tab/>
            </w:r>
            <w:r>
              <w:rPr>
                <w:noProof/>
                <w:webHidden/>
              </w:rPr>
              <w:fldChar w:fldCharType="begin"/>
            </w:r>
            <w:r>
              <w:rPr>
                <w:noProof/>
                <w:webHidden/>
              </w:rPr>
              <w:instrText xml:space="preserve"> PAGEREF _Toc187309147 \h </w:instrText>
            </w:r>
            <w:r>
              <w:rPr>
                <w:noProof/>
                <w:webHidden/>
              </w:rPr>
            </w:r>
            <w:r>
              <w:rPr>
                <w:noProof/>
                <w:webHidden/>
              </w:rPr>
              <w:fldChar w:fldCharType="separate"/>
            </w:r>
            <w:r w:rsidR="00C17AFF">
              <w:rPr>
                <w:noProof/>
                <w:webHidden/>
              </w:rPr>
              <w:t>2</w:t>
            </w:r>
            <w:r>
              <w:rPr>
                <w:noProof/>
                <w:webHidden/>
              </w:rPr>
              <w:fldChar w:fldCharType="end"/>
            </w:r>
          </w:hyperlink>
        </w:p>
        <w:p w14:paraId="07AE4FCC" w14:textId="7E0DC9DC" w:rsidR="002A04B3" w:rsidRDefault="002A04B3" w:rsidP="002A04B3">
          <w:pPr>
            <w:pStyle w:val="Verzeichnis1"/>
            <w:numPr>
              <w:ilvl w:val="0"/>
              <w:numId w:val="0"/>
            </w:numPr>
            <w:tabs>
              <w:tab w:val="left" w:pos="480"/>
              <w:tab w:val="right" w:leader="dot" w:pos="9062"/>
            </w:tabs>
            <w:ind w:left="-360"/>
            <w:rPr>
              <w:noProof/>
            </w:rPr>
          </w:pPr>
          <w:hyperlink w:anchor="_Toc187309148" w:history="1">
            <w:r w:rsidRPr="00366B09">
              <w:rPr>
                <w:rStyle w:val="Hyperlink"/>
                <w:noProof/>
              </w:rPr>
              <w:t>2.</w:t>
            </w:r>
            <w:r>
              <w:rPr>
                <w:noProof/>
              </w:rPr>
              <w:tab/>
            </w:r>
            <w:r w:rsidRPr="00366B09">
              <w:rPr>
                <w:rStyle w:val="Hyperlink"/>
                <w:noProof/>
              </w:rPr>
              <w:t>Besonderheiten</w:t>
            </w:r>
            <w:r>
              <w:rPr>
                <w:noProof/>
                <w:webHidden/>
              </w:rPr>
              <w:tab/>
            </w:r>
            <w:r>
              <w:rPr>
                <w:noProof/>
                <w:webHidden/>
              </w:rPr>
              <w:fldChar w:fldCharType="begin"/>
            </w:r>
            <w:r>
              <w:rPr>
                <w:noProof/>
                <w:webHidden/>
              </w:rPr>
              <w:instrText xml:space="preserve"> PAGEREF _Toc187309148 \h </w:instrText>
            </w:r>
            <w:r>
              <w:rPr>
                <w:noProof/>
                <w:webHidden/>
              </w:rPr>
            </w:r>
            <w:r>
              <w:rPr>
                <w:noProof/>
                <w:webHidden/>
              </w:rPr>
              <w:fldChar w:fldCharType="separate"/>
            </w:r>
            <w:r w:rsidR="00C17AFF">
              <w:rPr>
                <w:noProof/>
                <w:webHidden/>
              </w:rPr>
              <w:t>2</w:t>
            </w:r>
            <w:r>
              <w:rPr>
                <w:noProof/>
                <w:webHidden/>
              </w:rPr>
              <w:fldChar w:fldCharType="end"/>
            </w:r>
          </w:hyperlink>
        </w:p>
        <w:p w14:paraId="4537F6B6" w14:textId="69511771" w:rsidR="002A04B3" w:rsidRDefault="002A04B3" w:rsidP="002A04B3">
          <w:pPr>
            <w:pStyle w:val="Verzeichnis2"/>
            <w:numPr>
              <w:ilvl w:val="0"/>
              <w:numId w:val="0"/>
            </w:numPr>
            <w:tabs>
              <w:tab w:val="left" w:pos="720"/>
              <w:tab w:val="right" w:leader="dot" w:pos="9062"/>
            </w:tabs>
            <w:ind w:left="-160"/>
            <w:rPr>
              <w:noProof/>
            </w:rPr>
          </w:pPr>
          <w:hyperlink w:anchor="_Toc187309149" w:history="1">
            <w:r w:rsidRPr="00366B09">
              <w:rPr>
                <w:rStyle w:val="Hyperlink"/>
                <w:noProof/>
              </w:rPr>
              <w:t>a)</w:t>
            </w:r>
            <w:r>
              <w:rPr>
                <w:noProof/>
              </w:rPr>
              <w:tab/>
            </w:r>
            <w:r w:rsidRPr="00366B09">
              <w:rPr>
                <w:rStyle w:val="Hyperlink"/>
                <w:noProof/>
              </w:rPr>
              <w:t>Landes- und Kommunalbeamten</w:t>
            </w:r>
            <w:r>
              <w:rPr>
                <w:noProof/>
                <w:webHidden/>
              </w:rPr>
              <w:tab/>
            </w:r>
            <w:r>
              <w:rPr>
                <w:noProof/>
                <w:webHidden/>
              </w:rPr>
              <w:fldChar w:fldCharType="begin"/>
            </w:r>
            <w:r>
              <w:rPr>
                <w:noProof/>
                <w:webHidden/>
              </w:rPr>
              <w:instrText xml:space="preserve"> PAGEREF _Toc187309149 \h </w:instrText>
            </w:r>
            <w:r>
              <w:rPr>
                <w:noProof/>
                <w:webHidden/>
              </w:rPr>
            </w:r>
            <w:r>
              <w:rPr>
                <w:noProof/>
                <w:webHidden/>
              </w:rPr>
              <w:fldChar w:fldCharType="separate"/>
            </w:r>
            <w:r w:rsidR="00C17AFF">
              <w:rPr>
                <w:noProof/>
                <w:webHidden/>
              </w:rPr>
              <w:t>2</w:t>
            </w:r>
            <w:r>
              <w:rPr>
                <w:noProof/>
                <w:webHidden/>
              </w:rPr>
              <w:fldChar w:fldCharType="end"/>
            </w:r>
          </w:hyperlink>
        </w:p>
        <w:p w14:paraId="0F008767" w14:textId="1A5C1C39" w:rsidR="002A04B3" w:rsidRDefault="002A04B3" w:rsidP="002A04B3">
          <w:pPr>
            <w:pStyle w:val="Verzeichnis2"/>
            <w:numPr>
              <w:ilvl w:val="0"/>
              <w:numId w:val="0"/>
            </w:numPr>
            <w:tabs>
              <w:tab w:val="left" w:pos="720"/>
              <w:tab w:val="right" w:leader="dot" w:pos="9062"/>
            </w:tabs>
            <w:ind w:left="-160"/>
            <w:rPr>
              <w:noProof/>
            </w:rPr>
          </w:pPr>
          <w:hyperlink w:anchor="_Toc187309150" w:history="1">
            <w:r w:rsidRPr="00366B09">
              <w:rPr>
                <w:rStyle w:val="Hyperlink"/>
                <w:noProof/>
              </w:rPr>
              <w:t>b)</w:t>
            </w:r>
            <w:r>
              <w:rPr>
                <w:noProof/>
              </w:rPr>
              <w:tab/>
            </w:r>
            <w:r w:rsidRPr="00366B09">
              <w:rPr>
                <w:rStyle w:val="Hyperlink"/>
                <w:noProof/>
              </w:rPr>
              <w:t>Bundesbeamten, Soldaten und Bundesrichtern</w:t>
            </w:r>
            <w:r>
              <w:rPr>
                <w:noProof/>
                <w:webHidden/>
              </w:rPr>
              <w:tab/>
            </w:r>
            <w:r>
              <w:rPr>
                <w:noProof/>
                <w:webHidden/>
              </w:rPr>
              <w:fldChar w:fldCharType="begin"/>
            </w:r>
            <w:r>
              <w:rPr>
                <w:noProof/>
                <w:webHidden/>
              </w:rPr>
              <w:instrText xml:space="preserve"> PAGEREF _Toc187309150 \h </w:instrText>
            </w:r>
            <w:r>
              <w:rPr>
                <w:noProof/>
                <w:webHidden/>
              </w:rPr>
            </w:r>
            <w:r>
              <w:rPr>
                <w:noProof/>
                <w:webHidden/>
              </w:rPr>
              <w:fldChar w:fldCharType="separate"/>
            </w:r>
            <w:r w:rsidR="00C17AFF">
              <w:rPr>
                <w:noProof/>
                <w:webHidden/>
              </w:rPr>
              <w:t>2</w:t>
            </w:r>
            <w:r>
              <w:rPr>
                <w:noProof/>
                <w:webHidden/>
              </w:rPr>
              <w:fldChar w:fldCharType="end"/>
            </w:r>
          </w:hyperlink>
        </w:p>
        <w:p w14:paraId="22572162" w14:textId="33BD738D" w:rsidR="002A04B3" w:rsidRDefault="002A04B3" w:rsidP="002A04B3">
          <w:pPr>
            <w:pStyle w:val="Verzeichnis2"/>
            <w:numPr>
              <w:ilvl w:val="0"/>
              <w:numId w:val="0"/>
            </w:numPr>
            <w:tabs>
              <w:tab w:val="left" w:pos="720"/>
              <w:tab w:val="right" w:leader="dot" w:pos="9062"/>
            </w:tabs>
            <w:ind w:left="-160"/>
            <w:rPr>
              <w:noProof/>
            </w:rPr>
          </w:pPr>
          <w:hyperlink w:anchor="_Toc187309151" w:history="1">
            <w:r w:rsidRPr="00366B09">
              <w:rPr>
                <w:rStyle w:val="Hyperlink"/>
                <w:noProof/>
              </w:rPr>
              <w:t>c)</w:t>
            </w:r>
            <w:r>
              <w:rPr>
                <w:noProof/>
              </w:rPr>
              <w:tab/>
            </w:r>
            <w:r w:rsidRPr="00366B09">
              <w:rPr>
                <w:rStyle w:val="Hyperlink"/>
                <w:noProof/>
              </w:rPr>
              <w:t>Berufsständische Versorgungswerke</w:t>
            </w:r>
            <w:r>
              <w:rPr>
                <w:noProof/>
                <w:webHidden/>
              </w:rPr>
              <w:tab/>
            </w:r>
            <w:r>
              <w:rPr>
                <w:noProof/>
                <w:webHidden/>
              </w:rPr>
              <w:fldChar w:fldCharType="begin"/>
            </w:r>
            <w:r>
              <w:rPr>
                <w:noProof/>
                <w:webHidden/>
              </w:rPr>
              <w:instrText xml:space="preserve"> PAGEREF _Toc187309151 \h </w:instrText>
            </w:r>
            <w:r>
              <w:rPr>
                <w:noProof/>
                <w:webHidden/>
              </w:rPr>
            </w:r>
            <w:r>
              <w:rPr>
                <w:noProof/>
                <w:webHidden/>
              </w:rPr>
              <w:fldChar w:fldCharType="separate"/>
            </w:r>
            <w:r w:rsidR="00C17AFF">
              <w:rPr>
                <w:noProof/>
                <w:webHidden/>
              </w:rPr>
              <w:t>3</w:t>
            </w:r>
            <w:r>
              <w:rPr>
                <w:noProof/>
                <w:webHidden/>
              </w:rPr>
              <w:fldChar w:fldCharType="end"/>
            </w:r>
          </w:hyperlink>
        </w:p>
        <w:p w14:paraId="03A87177" w14:textId="4CF0AA3E" w:rsidR="002A04B3" w:rsidRDefault="002A04B3" w:rsidP="002A04B3">
          <w:pPr>
            <w:pStyle w:val="Verzeichnis2"/>
            <w:numPr>
              <w:ilvl w:val="0"/>
              <w:numId w:val="0"/>
            </w:numPr>
            <w:tabs>
              <w:tab w:val="left" w:pos="720"/>
              <w:tab w:val="right" w:leader="dot" w:pos="9062"/>
            </w:tabs>
            <w:ind w:left="-160"/>
            <w:rPr>
              <w:noProof/>
            </w:rPr>
          </w:pPr>
          <w:hyperlink w:anchor="_Toc187309152" w:history="1">
            <w:r w:rsidRPr="00366B09">
              <w:rPr>
                <w:rStyle w:val="Hyperlink"/>
                <w:noProof/>
              </w:rPr>
              <w:t>d)</w:t>
            </w:r>
            <w:r>
              <w:rPr>
                <w:noProof/>
              </w:rPr>
              <w:tab/>
            </w:r>
            <w:r w:rsidRPr="00366B09">
              <w:rPr>
                <w:rStyle w:val="Hyperlink"/>
                <w:noProof/>
              </w:rPr>
              <w:t>Betriebsrenten</w:t>
            </w:r>
            <w:r>
              <w:rPr>
                <w:noProof/>
                <w:webHidden/>
              </w:rPr>
              <w:tab/>
            </w:r>
            <w:r>
              <w:rPr>
                <w:noProof/>
                <w:webHidden/>
              </w:rPr>
              <w:fldChar w:fldCharType="begin"/>
            </w:r>
            <w:r>
              <w:rPr>
                <w:noProof/>
                <w:webHidden/>
              </w:rPr>
              <w:instrText xml:space="preserve"> PAGEREF _Toc187309152 \h </w:instrText>
            </w:r>
            <w:r>
              <w:rPr>
                <w:noProof/>
                <w:webHidden/>
              </w:rPr>
            </w:r>
            <w:r>
              <w:rPr>
                <w:noProof/>
                <w:webHidden/>
              </w:rPr>
              <w:fldChar w:fldCharType="separate"/>
            </w:r>
            <w:r w:rsidR="00C17AFF">
              <w:rPr>
                <w:noProof/>
                <w:webHidden/>
              </w:rPr>
              <w:t>3</w:t>
            </w:r>
            <w:r>
              <w:rPr>
                <w:noProof/>
                <w:webHidden/>
              </w:rPr>
              <w:fldChar w:fldCharType="end"/>
            </w:r>
          </w:hyperlink>
        </w:p>
        <w:p w14:paraId="701592EE" w14:textId="27CD1145" w:rsidR="002A04B3" w:rsidRDefault="002A04B3" w:rsidP="002A04B3">
          <w:pPr>
            <w:pStyle w:val="Verzeichnis2"/>
            <w:numPr>
              <w:ilvl w:val="0"/>
              <w:numId w:val="0"/>
            </w:numPr>
            <w:tabs>
              <w:tab w:val="left" w:pos="720"/>
              <w:tab w:val="right" w:leader="dot" w:pos="9062"/>
            </w:tabs>
            <w:ind w:left="-160"/>
            <w:rPr>
              <w:noProof/>
            </w:rPr>
          </w:pPr>
          <w:hyperlink w:anchor="_Toc187309153" w:history="1">
            <w:r w:rsidRPr="00366B09">
              <w:rPr>
                <w:rStyle w:val="Hyperlink"/>
                <w:noProof/>
              </w:rPr>
              <w:t>e)</w:t>
            </w:r>
            <w:r>
              <w:rPr>
                <w:noProof/>
              </w:rPr>
              <w:tab/>
            </w:r>
            <w:r w:rsidRPr="00366B09">
              <w:rPr>
                <w:rStyle w:val="Hyperlink"/>
                <w:noProof/>
              </w:rPr>
              <w:t>Direktzusagen</w:t>
            </w:r>
            <w:r>
              <w:rPr>
                <w:noProof/>
                <w:webHidden/>
              </w:rPr>
              <w:tab/>
            </w:r>
            <w:r>
              <w:rPr>
                <w:noProof/>
                <w:webHidden/>
              </w:rPr>
              <w:fldChar w:fldCharType="begin"/>
            </w:r>
            <w:r>
              <w:rPr>
                <w:noProof/>
                <w:webHidden/>
              </w:rPr>
              <w:instrText xml:space="preserve"> PAGEREF _Toc187309153 \h </w:instrText>
            </w:r>
            <w:r>
              <w:rPr>
                <w:noProof/>
                <w:webHidden/>
              </w:rPr>
            </w:r>
            <w:r>
              <w:rPr>
                <w:noProof/>
                <w:webHidden/>
              </w:rPr>
              <w:fldChar w:fldCharType="separate"/>
            </w:r>
            <w:r w:rsidR="00C17AFF">
              <w:rPr>
                <w:noProof/>
                <w:webHidden/>
              </w:rPr>
              <w:t>3</w:t>
            </w:r>
            <w:r>
              <w:rPr>
                <w:noProof/>
                <w:webHidden/>
              </w:rPr>
              <w:fldChar w:fldCharType="end"/>
            </w:r>
          </w:hyperlink>
        </w:p>
        <w:p w14:paraId="06B2B737" w14:textId="35600094" w:rsidR="002A04B3" w:rsidRDefault="002A04B3" w:rsidP="002A04B3">
          <w:pPr>
            <w:pStyle w:val="Verzeichnis2"/>
            <w:numPr>
              <w:ilvl w:val="0"/>
              <w:numId w:val="0"/>
            </w:numPr>
            <w:tabs>
              <w:tab w:val="left" w:pos="720"/>
              <w:tab w:val="right" w:leader="dot" w:pos="9062"/>
            </w:tabs>
            <w:ind w:left="-160"/>
            <w:rPr>
              <w:noProof/>
            </w:rPr>
          </w:pPr>
          <w:hyperlink w:anchor="_Toc187309154" w:history="1">
            <w:r w:rsidRPr="00366B09">
              <w:rPr>
                <w:rStyle w:val="Hyperlink"/>
                <w:noProof/>
              </w:rPr>
              <w:t>f)</w:t>
            </w:r>
            <w:r>
              <w:rPr>
                <w:noProof/>
              </w:rPr>
              <w:tab/>
            </w:r>
            <w:r w:rsidRPr="00366B09">
              <w:rPr>
                <w:rStyle w:val="Hyperlink"/>
                <w:noProof/>
              </w:rPr>
              <w:t>Private Rentenversorgungen</w:t>
            </w:r>
            <w:r>
              <w:rPr>
                <w:noProof/>
                <w:webHidden/>
              </w:rPr>
              <w:tab/>
            </w:r>
            <w:r>
              <w:rPr>
                <w:noProof/>
                <w:webHidden/>
              </w:rPr>
              <w:fldChar w:fldCharType="begin"/>
            </w:r>
            <w:r>
              <w:rPr>
                <w:noProof/>
                <w:webHidden/>
              </w:rPr>
              <w:instrText xml:space="preserve"> PAGEREF _Toc187309154 \h </w:instrText>
            </w:r>
            <w:r>
              <w:rPr>
                <w:noProof/>
                <w:webHidden/>
              </w:rPr>
            </w:r>
            <w:r>
              <w:rPr>
                <w:noProof/>
                <w:webHidden/>
              </w:rPr>
              <w:fldChar w:fldCharType="separate"/>
            </w:r>
            <w:r w:rsidR="00C17AFF">
              <w:rPr>
                <w:noProof/>
                <w:webHidden/>
              </w:rPr>
              <w:t>3</w:t>
            </w:r>
            <w:r>
              <w:rPr>
                <w:noProof/>
                <w:webHidden/>
              </w:rPr>
              <w:fldChar w:fldCharType="end"/>
            </w:r>
          </w:hyperlink>
        </w:p>
        <w:p w14:paraId="112B6B1C" w14:textId="71CEE7E9" w:rsidR="002A04B3" w:rsidRDefault="002A04B3" w:rsidP="002A04B3">
          <w:pPr>
            <w:pStyle w:val="Verzeichnis2"/>
            <w:numPr>
              <w:ilvl w:val="0"/>
              <w:numId w:val="0"/>
            </w:numPr>
            <w:tabs>
              <w:tab w:val="left" w:pos="720"/>
              <w:tab w:val="right" w:leader="dot" w:pos="9062"/>
            </w:tabs>
            <w:ind w:left="-160"/>
            <w:rPr>
              <w:noProof/>
            </w:rPr>
          </w:pPr>
          <w:hyperlink w:anchor="_Toc187309155" w:history="1">
            <w:r w:rsidRPr="00366B09">
              <w:rPr>
                <w:rStyle w:val="Hyperlink"/>
                <w:noProof/>
              </w:rPr>
              <w:t>g)</w:t>
            </w:r>
            <w:r>
              <w:rPr>
                <w:noProof/>
              </w:rPr>
              <w:tab/>
            </w:r>
            <w:r w:rsidRPr="00366B09">
              <w:rPr>
                <w:rStyle w:val="Hyperlink"/>
                <w:noProof/>
              </w:rPr>
              <w:t>Ausländische und supranationale Versorgungen</w:t>
            </w:r>
            <w:r>
              <w:rPr>
                <w:noProof/>
                <w:webHidden/>
              </w:rPr>
              <w:tab/>
            </w:r>
            <w:r>
              <w:rPr>
                <w:noProof/>
                <w:webHidden/>
              </w:rPr>
              <w:fldChar w:fldCharType="begin"/>
            </w:r>
            <w:r>
              <w:rPr>
                <w:noProof/>
                <w:webHidden/>
              </w:rPr>
              <w:instrText xml:space="preserve"> PAGEREF _Toc187309155 \h </w:instrText>
            </w:r>
            <w:r>
              <w:rPr>
                <w:noProof/>
                <w:webHidden/>
              </w:rPr>
            </w:r>
            <w:r>
              <w:rPr>
                <w:noProof/>
                <w:webHidden/>
              </w:rPr>
              <w:fldChar w:fldCharType="separate"/>
            </w:r>
            <w:r w:rsidR="00C17AFF">
              <w:rPr>
                <w:noProof/>
                <w:webHidden/>
              </w:rPr>
              <w:t>3</w:t>
            </w:r>
            <w:r>
              <w:rPr>
                <w:noProof/>
                <w:webHidden/>
              </w:rPr>
              <w:fldChar w:fldCharType="end"/>
            </w:r>
          </w:hyperlink>
        </w:p>
        <w:p w14:paraId="49B8D881" w14:textId="0CA05F8C" w:rsidR="002A04B3" w:rsidRDefault="002A04B3" w:rsidP="002A04B3">
          <w:pPr>
            <w:pStyle w:val="Verzeichnis1"/>
            <w:numPr>
              <w:ilvl w:val="0"/>
              <w:numId w:val="0"/>
            </w:numPr>
            <w:tabs>
              <w:tab w:val="left" w:pos="480"/>
              <w:tab w:val="right" w:leader="dot" w:pos="9062"/>
            </w:tabs>
            <w:ind w:left="-360"/>
            <w:rPr>
              <w:noProof/>
            </w:rPr>
          </w:pPr>
          <w:hyperlink w:anchor="_Toc187309156" w:history="1">
            <w:r w:rsidRPr="00366B09">
              <w:rPr>
                <w:rStyle w:val="Hyperlink"/>
                <w:noProof/>
              </w:rPr>
              <w:t>3.</w:t>
            </w:r>
            <w:r>
              <w:rPr>
                <w:noProof/>
              </w:rPr>
              <w:tab/>
            </w:r>
            <w:r w:rsidRPr="00366B09">
              <w:rPr>
                <w:rStyle w:val="Hyperlink"/>
                <w:noProof/>
              </w:rPr>
              <w:t>Abschließende grundsätzliche Hinweise</w:t>
            </w:r>
            <w:r>
              <w:rPr>
                <w:noProof/>
                <w:webHidden/>
              </w:rPr>
              <w:tab/>
            </w:r>
            <w:r>
              <w:rPr>
                <w:noProof/>
                <w:webHidden/>
              </w:rPr>
              <w:fldChar w:fldCharType="begin"/>
            </w:r>
            <w:r>
              <w:rPr>
                <w:noProof/>
                <w:webHidden/>
              </w:rPr>
              <w:instrText xml:space="preserve"> PAGEREF _Toc187309156 \h </w:instrText>
            </w:r>
            <w:r>
              <w:rPr>
                <w:noProof/>
                <w:webHidden/>
              </w:rPr>
            </w:r>
            <w:r>
              <w:rPr>
                <w:noProof/>
                <w:webHidden/>
              </w:rPr>
              <w:fldChar w:fldCharType="separate"/>
            </w:r>
            <w:r w:rsidR="00C17AFF">
              <w:rPr>
                <w:noProof/>
                <w:webHidden/>
              </w:rPr>
              <w:t>3</w:t>
            </w:r>
            <w:r>
              <w:rPr>
                <w:noProof/>
                <w:webHidden/>
              </w:rPr>
              <w:fldChar w:fldCharType="end"/>
            </w:r>
          </w:hyperlink>
        </w:p>
        <w:p w14:paraId="0CAC0E7B" w14:textId="54D31688" w:rsidR="002A04B3" w:rsidRDefault="002A04B3" w:rsidP="002A04B3">
          <w:pPr>
            <w:numPr>
              <w:ilvl w:val="0"/>
              <w:numId w:val="0"/>
            </w:numPr>
            <w:ind w:left="1134"/>
          </w:pPr>
          <w:r>
            <w:rPr>
              <w:b/>
              <w:bCs/>
            </w:rPr>
            <w:fldChar w:fldCharType="end"/>
          </w:r>
        </w:p>
      </w:sdtContent>
    </w:sdt>
    <w:p w14:paraId="51258BC2" w14:textId="77777777" w:rsidR="002A04B3" w:rsidRDefault="002A04B3" w:rsidP="00557C26">
      <w:pPr>
        <w:pStyle w:val="KeinLeerraum"/>
        <w:ind w:left="0" w:firstLine="0"/>
        <w:rPr>
          <w:bCs/>
          <w:sz w:val="21"/>
          <w:szCs w:val="21"/>
        </w:rPr>
      </w:pPr>
    </w:p>
    <w:bookmarkEnd w:id="0"/>
    <w:p w14:paraId="57871EF6" w14:textId="6D7F0B16" w:rsidR="00A05307" w:rsidRPr="00A44AFA" w:rsidRDefault="00557C26" w:rsidP="003C6EFE">
      <w:pPr>
        <w:pStyle w:val="berschrift1"/>
      </w:pPr>
      <w:r>
        <w:br w:type="column"/>
      </w:r>
      <w:bookmarkStart w:id="1" w:name="_Toc187309147"/>
      <w:r>
        <w:lastRenderedPageBreak/>
        <w:t>Was ist der Versorgungsausgleich?</w:t>
      </w:r>
      <w:bookmarkEnd w:id="1"/>
    </w:p>
    <w:p w14:paraId="75BB9FFA" w14:textId="20671F03" w:rsidR="009650D4" w:rsidRPr="00557C26" w:rsidRDefault="009650D4" w:rsidP="00D32C04">
      <w:pPr>
        <w:numPr>
          <w:ilvl w:val="0"/>
          <w:numId w:val="0"/>
        </w:numPr>
        <w:rPr>
          <w:sz w:val="21"/>
          <w:szCs w:val="21"/>
        </w:rPr>
      </w:pPr>
      <w:r w:rsidRPr="00A44AFA">
        <w:rPr>
          <w:sz w:val="21"/>
          <w:szCs w:val="21"/>
        </w:rPr>
        <w:t>Im Versorgungsausgleich</w:t>
      </w:r>
      <w:r w:rsidR="00A44AFA">
        <w:rPr>
          <w:sz w:val="21"/>
          <w:szCs w:val="21"/>
        </w:rPr>
        <w:t xml:space="preserve"> werden die </w:t>
      </w:r>
      <w:r w:rsidR="005353E6">
        <w:rPr>
          <w:sz w:val="21"/>
          <w:szCs w:val="21"/>
        </w:rPr>
        <w:t xml:space="preserve">von den Eheleuten in der </w:t>
      </w:r>
      <w:r w:rsidR="00A44AFA">
        <w:rPr>
          <w:sz w:val="21"/>
          <w:szCs w:val="21"/>
        </w:rPr>
        <w:t xml:space="preserve">Ehezeit erworbenen Versorgungsansprüche </w:t>
      </w:r>
      <w:r w:rsidR="005353E6">
        <w:rPr>
          <w:sz w:val="21"/>
          <w:szCs w:val="21"/>
        </w:rPr>
        <w:t>durch das Gericht geteilt u</w:t>
      </w:r>
      <w:r w:rsidR="002F6DB4" w:rsidRPr="00557C26">
        <w:rPr>
          <w:sz w:val="21"/>
          <w:szCs w:val="21"/>
        </w:rPr>
        <w:t xml:space="preserve">nd zwar ungeachtet dessen, ob diese Ansprüche aus Arbeit oder Vermögen entstanden sind. </w:t>
      </w:r>
      <w:r w:rsidRPr="00557C26">
        <w:rPr>
          <w:sz w:val="21"/>
          <w:szCs w:val="21"/>
        </w:rPr>
        <w:t>Beide Ehe</w:t>
      </w:r>
      <w:r w:rsidR="002F6DB4" w:rsidRPr="00557C26">
        <w:rPr>
          <w:sz w:val="21"/>
          <w:szCs w:val="21"/>
        </w:rPr>
        <w:t>partner</w:t>
      </w:r>
      <w:r w:rsidRPr="00557C26">
        <w:rPr>
          <w:sz w:val="21"/>
          <w:szCs w:val="21"/>
        </w:rPr>
        <w:t xml:space="preserve"> sollen nach dem Versorgungsausgleich den gleichen ehezeitlichen Versorgungserwerb haben. Das klingt </w:t>
      </w:r>
      <w:r w:rsidR="00EE7D30" w:rsidRPr="00557C26">
        <w:rPr>
          <w:sz w:val="21"/>
          <w:szCs w:val="21"/>
        </w:rPr>
        <w:t xml:space="preserve">zunächst </w:t>
      </w:r>
      <w:r w:rsidRPr="00557C26">
        <w:rPr>
          <w:sz w:val="21"/>
          <w:szCs w:val="21"/>
        </w:rPr>
        <w:t xml:space="preserve">einfach, ist </w:t>
      </w:r>
      <w:r w:rsidR="00EE7D30" w:rsidRPr="00557C26">
        <w:rPr>
          <w:sz w:val="21"/>
          <w:szCs w:val="21"/>
        </w:rPr>
        <w:t xml:space="preserve">in der Praxis </w:t>
      </w:r>
      <w:r w:rsidRPr="00557C26">
        <w:rPr>
          <w:sz w:val="21"/>
          <w:szCs w:val="21"/>
        </w:rPr>
        <w:t>aber oft schwierig.</w:t>
      </w:r>
    </w:p>
    <w:p w14:paraId="39F52724" w14:textId="1F8A91C2" w:rsidR="009650D4" w:rsidRPr="00557C26" w:rsidRDefault="009650D4" w:rsidP="00D32C04">
      <w:pPr>
        <w:numPr>
          <w:ilvl w:val="0"/>
          <w:numId w:val="0"/>
        </w:numPr>
        <w:rPr>
          <w:sz w:val="21"/>
          <w:szCs w:val="21"/>
        </w:rPr>
      </w:pPr>
      <w:r w:rsidRPr="00557C26">
        <w:rPr>
          <w:sz w:val="21"/>
          <w:szCs w:val="21"/>
        </w:rPr>
        <w:t>Es gibt viele verschiedene Arten von Versorgung</w:t>
      </w:r>
      <w:r w:rsidR="00EE7D30" w:rsidRPr="00557C26">
        <w:rPr>
          <w:sz w:val="21"/>
          <w:szCs w:val="21"/>
        </w:rPr>
        <w:t>sansprüchen</w:t>
      </w:r>
      <w:r w:rsidRPr="00557C26">
        <w:rPr>
          <w:sz w:val="21"/>
          <w:szCs w:val="21"/>
        </w:rPr>
        <w:t xml:space="preserve">. Dazu gehören die </w:t>
      </w:r>
      <w:r w:rsidR="00EE7D30" w:rsidRPr="00557C26">
        <w:rPr>
          <w:sz w:val="21"/>
          <w:szCs w:val="21"/>
        </w:rPr>
        <w:t xml:space="preserve">sogenannten Regelsicherungssysteme (Gesetzliche </w:t>
      </w:r>
      <w:r w:rsidRPr="00557C26">
        <w:rPr>
          <w:sz w:val="21"/>
          <w:szCs w:val="21"/>
        </w:rPr>
        <w:t xml:space="preserve">Rentenversicherung, Beamtenversorgung, </w:t>
      </w:r>
      <w:r w:rsidR="00EE7D30" w:rsidRPr="00557C26">
        <w:rPr>
          <w:sz w:val="21"/>
          <w:szCs w:val="21"/>
        </w:rPr>
        <w:t xml:space="preserve">Alterssicherung der Landwirte und Berufsständische Versorgung). Aber auch </w:t>
      </w:r>
      <w:r w:rsidRPr="00557C26">
        <w:rPr>
          <w:sz w:val="21"/>
          <w:szCs w:val="21"/>
        </w:rPr>
        <w:t>betriebliche, private, ausländische und supranationale Versorgungen</w:t>
      </w:r>
      <w:r w:rsidR="00EE7D30" w:rsidRPr="00557C26">
        <w:rPr>
          <w:sz w:val="21"/>
          <w:szCs w:val="21"/>
        </w:rPr>
        <w:t xml:space="preserve"> werden in den Versorgungsausgleich einbezogen</w:t>
      </w:r>
      <w:r w:rsidRPr="00557C26">
        <w:rPr>
          <w:sz w:val="21"/>
          <w:szCs w:val="21"/>
        </w:rPr>
        <w:t xml:space="preserve">. </w:t>
      </w:r>
    </w:p>
    <w:p w14:paraId="0CEB6A85" w14:textId="4F7D10D3" w:rsidR="00611EB1" w:rsidRPr="00557C26" w:rsidRDefault="00D758E8" w:rsidP="00D32C04">
      <w:pPr>
        <w:numPr>
          <w:ilvl w:val="0"/>
          <w:numId w:val="0"/>
        </w:numPr>
        <w:rPr>
          <w:sz w:val="21"/>
          <w:szCs w:val="21"/>
        </w:rPr>
      </w:pPr>
      <w:r w:rsidRPr="00557C26">
        <w:rPr>
          <w:sz w:val="21"/>
          <w:szCs w:val="21"/>
        </w:rPr>
        <w:t>A</w:t>
      </w:r>
      <w:r w:rsidR="006D5886" w:rsidRPr="00557C26">
        <w:rPr>
          <w:sz w:val="21"/>
          <w:szCs w:val="21"/>
        </w:rPr>
        <w:t xml:space="preserve">lle </w:t>
      </w:r>
      <w:r w:rsidRPr="00557C26">
        <w:rPr>
          <w:sz w:val="21"/>
          <w:szCs w:val="21"/>
        </w:rPr>
        <w:t xml:space="preserve">diese Versorgungen </w:t>
      </w:r>
      <w:r w:rsidR="006D5886" w:rsidRPr="00557C26">
        <w:rPr>
          <w:sz w:val="21"/>
          <w:szCs w:val="21"/>
        </w:rPr>
        <w:t xml:space="preserve">unterscheiden sich </w:t>
      </w:r>
      <w:r w:rsidR="00191239" w:rsidRPr="00557C26">
        <w:rPr>
          <w:sz w:val="21"/>
          <w:szCs w:val="21"/>
        </w:rPr>
        <w:t xml:space="preserve">mal mehr und mal weniger. </w:t>
      </w:r>
      <w:r w:rsidR="00DF7DF8">
        <w:rPr>
          <w:sz w:val="21"/>
          <w:szCs w:val="21"/>
        </w:rPr>
        <w:t>So kann das</w:t>
      </w:r>
      <w:r w:rsidR="00191239" w:rsidRPr="00557C26">
        <w:rPr>
          <w:sz w:val="21"/>
          <w:szCs w:val="21"/>
        </w:rPr>
        <w:t xml:space="preserve"> </w:t>
      </w:r>
      <w:r w:rsidR="00191239" w:rsidRPr="00557C26">
        <w:rPr>
          <w:b/>
          <w:sz w:val="21"/>
          <w:szCs w:val="21"/>
        </w:rPr>
        <w:t>Renteneintrittsalter</w:t>
      </w:r>
      <w:r w:rsidR="00191239" w:rsidRPr="00557C26">
        <w:rPr>
          <w:sz w:val="21"/>
          <w:szCs w:val="21"/>
        </w:rPr>
        <w:t xml:space="preserve">, </w:t>
      </w:r>
      <w:r w:rsidR="00DF7DF8">
        <w:rPr>
          <w:sz w:val="21"/>
          <w:szCs w:val="21"/>
        </w:rPr>
        <w:t>die</w:t>
      </w:r>
      <w:r w:rsidR="00191239" w:rsidRPr="00557C26">
        <w:rPr>
          <w:sz w:val="21"/>
          <w:szCs w:val="21"/>
        </w:rPr>
        <w:t xml:space="preserve"> Höhe der </w:t>
      </w:r>
      <w:r w:rsidR="00191239" w:rsidRPr="00557C26">
        <w:rPr>
          <w:b/>
          <w:sz w:val="21"/>
          <w:szCs w:val="21"/>
        </w:rPr>
        <w:t>jährlichen Rentenanpassung</w:t>
      </w:r>
      <w:r w:rsidR="006126F6" w:rsidRPr="00557C26">
        <w:rPr>
          <w:b/>
          <w:sz w:val="21"/>
          <w:szCs w:val="21"/>
        </w:rPr>
        <w:t xml:space="preserve"> (Dynamik</w:t>
      </w:r>
      <w:r w:rsidR="00EE7D30" w:rsidRPr="00557C26">
        <w:rPr>
          <w:b/>
          <w:sz w:val="21"/>
          <w:szCs w:val="21"/>
        </w:rPr>
        <w:t>)</w:t>
      </w:r>
      <w:r w:rsidR="00EE7D30" w:rsidRPr="00557C26">
        <w:rPr>
          <w:sz w:val="21"/>
          <w:szCs w:val="21"/>
        </w:rPr>
        <w:t xml:space="preserve"> oder auch </w:t>
      </w:r>
      <w:r w:rsidR="00DF7DF8">
        <w:rPr>
          <w:sz w:val="21"/>
          <w:szCs w:val="21"/>
        </w:rPr>
        <w:t>der</w:t>
      </w:r>
      <w:r w:rsidR="00191239" w:rsidRPr="00557C26">
        <w:rPr>
          <w:sz w:val="21"/>
          <w:szCs w:val="21"/>
        </w:rPr>
        <w:t xml:space="preserve"> </w:t>
      </w:r>
      <w:r w:rsidR="00191239" w:rsidRPr="00557C26">
        <w:rPr>
          <w:b/>
          <w:sz w:val="21"/>
          <w:szCs w:val="21"/>
        </w:rPr>
        <w:t>Leistungsumfang</w:t>
      </w:r>
      <w:r w:rsidR="00191239" w:rsidRPr="00557C26">
        <w:rPr>
          <w:sz w:val="21"/>
          <w:szCs w:val="21"/>
        </w:rPr>
        <w:t xml:space="preserve"> (Alters-, Invaliditäts- und Hinterbliebenenversorgung)</w:t>
      </w:r>
      <w:r w:rsidR="00EE7D30" w:rsidRPr="00557C26">
        <w:rPr>
          <w:sz w:val="21"/>
          <w:szCs w:val="21"/>
        </w:rPr>
        <w:t xml:space="preserve"> </w:t>
      </w:r>
      <w:r w:rsidR="00DF7DF8">
        <w:rPr>
          <w:sz w:val="21"/>
          <w:szCs w:val="21"/>
        </w:rPr>
        <w:t>der Versorgungen voneinander abweichend geregelt sein.</w:t>
      </w:r>
      <w:r w:rsidR="00191239" w:rsidRPr="00557C26">
        <w:rPr>
          <w:sz w:val="21"/>
          <w:szCs w:val="21"/>
        </w:rPr>
        <w:t xml:space="preserve"> Deshalb hat der Gesetzgeber angeordnet, dass</w:t>
      </w:r>
      <w:r w:rsidR="00191239" w:rsidRPr="00557C26">
        <w:rPr>
          <w:b/>
          <w:sz w:val="21"/>
          <w:szCs w:val="21"/>
        </w:rPr>
        <w:t xml:space="preserve"> in der</w:t>
      </w:r>
      <w:r w:rsidR="00191239" w:rsidRPr="00557C26">
        <w:rPr>
          <w:sz w:val="21"/>
          <w:szCs w:val="21"/>
        </w:rPr>
        <w:t xml:space="preserve"> </w:t>
      </w:r>
      <w:r w:rsidR="00191239" w:rsidRPr="00557C26">
        <w:rPr>
          <w:b/>
          <w:sz w:val="21"/>
          <w:szCs w:val="21"/>
        </w:rPr>
        <w:t xml:space="preserve">Regel </w:t>
      </w:r>
      <w:r w:rsidR="00191239" w:rsidRPr="00557C26">
        <w:rPr>
          <w:b/>
          <w:sz w:val="21"/>
          <w:szCs w:val="21"/>
          <w:u w:val="single"/>
        </w:rPr>
        <w:t>jede einzelne</w:t>
      </w:r>
      <w:r w:rsidR="00191239" w:rsidRPr="00557C26">
        <w:rPr>
          <w:b/>
          <w:sz w:val="21"/>
          <w:szCs w:val="21"/>
        </w:rPr>
        <w:t xml:space="preserve"> ehezeitlich erworbene Versorgung mit ihrem Ehezeitanteil „intern geteilt“ werden soll</w:t>
      </w:r>
      <w:r w:rsidR="00191239" w:rsidRPr="00557C26">
        <w:rPr>
          <w:sz w:val="21"/>
          <w:szCs w:val="21"/>
        </w:rPr>
        <w:t>. Das bedeutet</w:t>
      </w:r>
      <w:r w:rsidR="00EB042B" w:rsidRPr="00557C26">
        <w:rPr>
          <w:sz w:val="21"/>
          <w:szCs w:val="21"/>
        </w:rPr>
        <w:t>:</w:t>
      </w:r>
      <w:r w:rsidR="00191239" w:rsidRPr="00557C26">
        <w:rPr>
          <w:sz w:val="21"/>
          <w:szCs w:val="21"/>
        </w:rPr>
        <w:t xml:space="preserve"> der Inhaber der Versorgung verliert die Hälfte</w:t>
      </w:r>
      <w:r w:rsidRPr="00557C26">
        <w:rPr>
          <w:sz w:val="21"/>
          <w:szCs w:val="21"/>
        </w:rPr>
        <w:t xml:space="preserve"> seiner im jeweiligen Versorgungssystem ehezeitlich erworbenen Versorgung und zu Gunsten des anderen Ehegatten wird eine Versorgung aus dem Ausgleichswert bei dem Versorgungträger, bei dem die auszugleichende Versorgung bestand, zu den Versorgungsbedingungen begründet, die der auszugleichenden Versorgung zugrunde lagen.</w:t>
      </w:r>
      <w:r w:rsidR="00CE7040" w:rsidRPr="00557C26">
        <w:rPr>
          <w:sz w:val="21"/>
          <w:szCs w:val="21"/>
        </w:rPr>
        <w:t xml:space="preserve"> </w:t>
      </w:r>
    </w:p>
    <w:p w14:paraId="3E622D02" w14:textId="77777777" w:rsidR="00191239" w:rsidRPr="00557C26" w:rsidRDefault="00EB042B" w:rsidP="00D32C04">
      <w:pPr>
        <w:numPr>
          <w:ilvl w:val="0"/>
          <w:numId w:val="0"/>
        </w:numPr>
        <w:rPr>
          <w:sz w:val="21"/>
          <w:szCs w:val="21"/>
        </w:rPr>
      </w:pPr>
      <w:r w:rsidRPr="00557C26">
        <w:rPr>
          <w:sz w:val="21"/>
          <w:szCs w:val="21"/>
        </w:rPr>
        <w:t>Leider hat jedoch jede Regel Ausnahmen</w:t>
      </w:r>
      <w:r w:rsidR="00611EB1" w:rsidRPr="00557C26">
        <w:rPr>
          <w:sz w:val="21"/>
          <w:szCs w:val="21"/>
        </w:rPr>
        <w:t>:</w:t>
      </w:r>
    </w:p>
    <w:p w14:paraId="57658482" w14:textId="405B4F7E" w:rsidR="00CE7040" w:rsidRPr="00557C26" w:rsidRDefault="00611EB1" w:rsidP="00D32C04">
      <w:pPr>
        <w:numPr>
          <w:ilvl w:val="0"/>
          <w:numId w:val="0"/>
        </w:numPr>
        <w:rPr>
          <w:sz w:val="21"/>
          <w:szCs w:val="21"/>
        </w:rPr>
      </w:pPr>
      <w:r w:rsidRPr="00557C26">
        <w:rPr>
          <w:b/>
          <w:sz w:val="21"/>
          <w:szCs w:val="21"/>
        </w:rPr>
        <w:t>Bagatellversorgungen</w:t>
      </w:r>
      <w:r w:rsidRPr="00557C26">
        <w:rPr>
          <w:sz w:val="21"/>
          <w:szCs w:val="21"/>
        </w:rPr>
        <w:t>, also sehr geringfügige Versorgungen</w:t>
      </w:r>
      <w:r w:rsidR="00EE7D30" w:rsidRPr="00557C26">
        <w:rPr>
          <w:sz w:val="21"/>
          <w:szCs w:val="21"/>
        </w:rPr>
        <w:t xml:space="preserve"> </w:t>
      </w:r>
      <w:r w:rsidRPr="00557C26">
        <w:rPr>
          <w:b/>
          <w:sz w:val="21"/>
          <w:szCs w:val="21"/>
        </w:rPr>
        <w:t>sollen nicht ausgeglichen</w:t>
      </w:r>
      <w:r w:rsidRPr="00557C26">
        <w:rPr>
          <w:sz w:val="21"/>
          <w:szCs w:val="21"/>
        </w:rPr>
        <w:t xml:space="preserve"> werden (§</w:t>
      </w:r>
      <w:r w:rsidR="00EE7D30" w:rsidRPr="00557C26">
        <w:rPr>
          <w:sz w:val="21"/>
          <w:szCs w:val="21"/>
        </w:rPr>
        <w:t> </w:t>
      </w:r>
      <w:r w:rsidRPr="00557C26">
        <w:rPr>
          <w:sz w:val="21"/>
          <w:szCs w:val="21"/>
        </w:rPr>
        <w:t>18 VersAusglG)</w:t>
      </w:r>
      <w:r w:rsidR="00E96577" w:rsidRPr="00557C26">
        <w:rPr>
          <w:sz w:val="21"/>
          <w:szCs w:val="21"/>
        </w:rPr>
        <w:t>.</w:t>
      </w:r>
      <w:r w:rsidR="00EE7D30" w:rsidRPr="00557C26">
        <w:rPr>
          <w:sz w:val="21"/>
          <w:szCs w:val="21"/>
        </w:rPr>
        <w:t xml:space="preserve"> Die Grenzwerte liegen aktuell bei 35,35 € als Rentenbetrag bzw. bei 4.242 € als Kapitalwert.</w:t>
      </w:r>
    </w:p>
    <w:p w14:paraId="6C9966CF" w14:textId="53C523A8" w:rsidR="00E96577" w:rsidRDefault="00EE7D30" w:rsidP="00D32C04">
      <w:pPr>
        <w:numPr>
          <w:ilvl w:val="0"/>
          <w:numId w:val="0"/>
        </w:numPr>
        <w:rPr>
          <w:sz w:val="21"/>
          <w:szCs w:val="21"/>
        </w:rPr>
      </w:pPr>
      <w:r w:rsidRPr="00557C26">
        <w:rPr>
          <w:b/>
          <w:sz w:val="21"/>
          <w:szCs w:val="21"/>
        </w:rPr>
        <w:t>Unterschreitet der Ausgleichswert, also der halbe ehezeitlich</w:t>
      </w:r>
      <w:r w:rsidR="00DF7DF8">
        <w:rPr>
          <w:b/>
          <w:sz w:val="21"/>
          <w:szCs w:val="21"/>
        </w:rPr>
        <w:t xml:space="preserve"> erworbene</w:t>
      </w:r>
      <w:r w:rsidRPr="00557C26">
        <w:rPr>
          <w:b/>
          <w:sz w:val="21"/>
          <w:szCs w:val="21"/>
        </w:rPr>
        <w:t xml:space="preserve"> Anspruch, bestimmte Grenzen (</w:t>
      </w:r>
      <w:r w:rsidR="00C9453F" w:rsidRPr="00557C26">
        <w:rPr>
          <w:sz w:val="21"/>
          <w:szCs w:val="21"/>
        </w:rPr>
        <w:t xml:space="preserve">Rente: 70,70 €, Kapital: 8.484 €) </w:t>
      </w:r>
      <w:r w:rsidRPr="00557C26">
        <w:rPr>
          <w:sz w:val="21"/>
          <w:szCs w:val="21"/>
        </w:rPr>
        <w:t xml:space="preserve">können </w:t>
      </w:r>
      <w:r w:rsidR="00E96577" w:rsidRPr="00557C26">
        <w:rPr>
          <w:sz w:val="21"/>
          <w:szCs w:val="21"/>
        </w:rPr>
        <w:t>betriebliche</w:t>
      </w:r>
      <w:r w:rsidR="00E74A2F" w:rsidRPr="00557C26">
        <w:rPr>
          <w:sz w:val="21"/>
          <w:szCs w:val="21"/>
        </w:rPr>
        <w:t xml:space="preserve"> Versorgungsträger (Pensionskassen, Pensionsfonds, Direktversicherungen) oder </w:t>
      </w:r>
      <w:r w:rsidR="00E96577" w:rsidRPr="00557C26">
        <w:rPr>
          <w:sz w:val="21"/>
          <w:szCs w:val="21"/>
        </w:rPr>
        <w:t>private V</w:t>
      </w:r>
      <w:r w:rsidR="00E74A2F" w:rsidRPr="00557C26">
        <w:rPr>
          <w:sz w:val="21"/>
          <w:szCs w:val="21"/>
        </w:rPr>
        <w:t xml:space="preserve">ersicherungsgesellschaften eine </w:t>
      </w:r>
      <w:r w:rsidR="00E96577" w:rsidRPr="00557C26">
        <w:rPr>
          <w:sz w:val="21"/>
          <w:szCs w:val="21"/>
        </w:rPr>
        <w:t>„extern</w:t>
      </w:r>
      <w:r w:rsidR="00E74A2F" w:rsidRPr="00557C26">
        <w:rPr>
          <w:sz w:val="21"/>
          <w:szCs w:val="21"/>
        </w:rPr>
        <w:t>e Teilung</w:t>
      </w:r>
      <w:r w:rsidR="00E96577" w:rsidRPr="00557C26">
        <w:rPr>
          <w:sz w:val="21"/>
          <w:szCs w:val="21"/>
        </w:rPr>
        <w:t xml:space="preserve">“ </w:t>
      </w:r>
      <w:r w:rsidR="00E74A2F" w:rsidRPr="00557C26">
        <w:rPr>
          <w:sz w:val="21"/>
          <w:szCs w:val="21"/>
        </w:rPr>
        <w:t>verlangen. In diesem Fall wird der Ausgleichswert</w:t>
      </w:r>
      <w:r w:rsidR="00E96577" w:rsidRPr="00557C26">
        <w:rPr>
          <w:sz w:val="21"/>
          <w:szCs w:val="21"/>
        </w:rPr>
        <w:t xml:space="preserve"> als Kapital </w:t>
      </w:r>
      <w:r w:rsidR="00E74A2F" w:rsidRPr="00557C26">
        <w:rPr>
          <w:sz w:val="21"/>
          <w:szCs w:val="21"/>
        </w:rPr>
        <w:t>a</w:t>
      </w:r>
      <w:r w:rsidR="00E96577" w:rsidRPr="00557C26">
        <w:rPr>
          <w:sz w:val="21"/>
          <w:szCs w:val="21"/>
        </w:rPr>
        <w:t>n eine</w:t>
      </w:r>
      <w:r w:rsidR="00E74A2F" w:rsidRPr="00557C26">
        <w:rPr>
          <w:sz w:val="21"/>
          <w:szCs w:val="21"/>
        </w:rPr>
        <w:t>n</w:t>
      </w:r>
      <w:r w:rsidR="00E96577" w:rsidRPr="00557C26">
        <w:rPr>
          <w:sz w:val="21"/>
          <w:szCs w:val="21"/>
        </w:rPr>
        <w:t xml:space="preserve"> von der ausgleichsberechtigten Person zu bestimmenden </w:t>
      </w:r>
      <w:r w:rsidR="00E74A2F" w:rsidRPr="00557C26">
        <w:rPr>
          <w:sz w:val="21"/>
          <w:szCs w:val="21"/>
        </w:rPr>
        <w:t xml:space="preserve">„Zielversorgungsträger“ </w:t>
      </w:r>
      <w:r w:rsidR="00E96577" w:rsidRPr="00557C26">
        <w:rPr>
          <w:sz w:val="21"/>
          <w:szCs w:val="21"/>
        </w:rPr>
        <w:t xml:space="preserve">(meist </w:t>
      </w:r>
      <w:r w:rsidR="00E74A2F" w:rsidRPr="00557C26">
        <w:rPr>
          <w:sz w:val="21"/>
          <w:szCs w:val="21"/>
        </w:rPr>
        <w:t xml:space="preserve">die </w:t>
      </w:r>
      <w:r w:rsidR="00E96577" w:rsidRPr="00557C26">
        <w:rPr>
          <w:sz w:val="21"/>
          <w:szCs w:val="21"/>
        </w:rPr>
        <w:t xml:space="preserve">DRV) </w:t>
      </w:r>
      <w:r w:rsidR="00E74A2F" w:rsidRPr="00557C26">
        <w:rPr>
          <w:sz w:val="21"/>
          <w:szCs w:val="21"/>
        </w:rPr>
        <w:t>übertragen</w:t>
      </w:r>
      <w:r w:rsidR="00C9453F" w:rsidRPr="00557C26">
        <w:rPr>
          <w:sz w:val="21"/>
          <w:szCs w:val="21"/>
        </w:rPr>
        <w:t>.</w:t>
      </w:r>
    </w:p>
    <w:p w14:paraId="637DAFB5" w14:textId="73F77CC1" w:rsidR="003C6EFE" w:rsidRPr="003C6EFE" w:rsidRDefault="003C6EFE" w:rsidP="003C6EFE">
      <w:pPr>
        <w:pStyle w:val="berschrift1"/>
      </w:pPr>
      <w:bookmarkStart w:id="2" w:name="_Toc187309148"/>
      <w:r w:rsidRPr="003C6EFE">
        <w:t>Besonderheiten</w:t>
      </w:r>
      <w:bookmarkEnd w:id="2"/>
    </w:p>
    <w:p w14:paraId="3325193A" w14:textId="28A62B97" w:rsidR="00E74A2F" w:rsidRDefault="00E74A2F" w:rsidP="00D32C04">
      <w:pPr>
        <w:numPr>
          <w:ilvl w:val="0"/>
          <w:numId w:val="0"/>
        </w:numPr>
        <w:rPr>
          <w:b/>
          <w:bCs/>
          <w:sz w:val="21"/>
          <w:szCs w:val="21"/>
        </w:rPr>
      </w:pPr>
      <w:r w:rsidRPr="00557C26">
        <w:rPr>
          <w:b/>
          <w:bCs/>
          <w:sz w:val="21"/>
          <w:szCs w:val="21"/>
        </w:rPr>
        <w:t>Auf einige Besonderheiten will ich schon vorab hinweisen:</w:t>
      </w:r>
    </w:p>
    <w:p w14:paraId="21AF1593" w14:textId="026737C7" w:rsidR="000B1260" w:rsidRDefault="000B1260" w:rsidP="000B1260">
      <w:pPr>
        <w:pStyle w:val="berschrift2"/>
      </w:pPr>
      <w:r w:rsidRPr="000B1260">
        <w:t xml:space="preserve">Beamte im Versorgungsausgleich </w:t>
      </w:r>
    </w:p>
    <w:p w14:paraId="01176A14" w14:textId="3F0FF13F" w:rsidR="000B1260" w:rsidRPr="000B1260" w:rsidRDefault="00F442D6" w:rsidP="00F442D6">
      <w:pPr>
        <w:numPr>
          <w:ilvl w:val="0"/>
          <w:numId w:val="0"/>
        </w:numPr>
        <w:ind w:left="426" w:hanging="426"/>
      </w:pPr>
      <w:r>
        <w:t>&gt;</w:t>
      </w:r>
      <w:r>
        <w:tab/>
      </w:r>
      <w:r w:rsidRPr="00F442D6">
        <w:rPr>
          <w:sz w:val="21"/>
          <w:szCs w:val="21"/>
        </w:rPr>
        <w:t>Für alle Beamte gilt, dass im Versorgungsausgleich</w:t>
      </w:r>
      <w:r>
        <w:t xml:space="preserve"> übertragene Anrechte der gesetzlichen Rentenversicherung oder anderer Versorgungssysteme </w:t>
      </w:r>
      <w:r w:rsidR="0079319A">
        <w:t>nicht auf die Höchstbetragsbegrenzung der Pensionen angerechnet werden (vgl. § 55 Abs. 1 S. 7 BeamtVG).</w:t>
      </w:r>
    </w:p>
    <w:p w14:paraId="03349D26" w14:textId="62E3EF27" w:rsidR="003C6EFE" w:rsidRPr="003C6EFE" w:rsidRDefault="003C6EFE" w:rsidP="0079319A">
      <w:pPr>
        <w:pStyle w:val="berschrift2"/>
        <w:numPr>
          <w:ilvl w:val="1"/>
          <w:numId w:val="7"/>
        </w:numPr>
      </w:pPr>
      <w:bookmarkStart w:id="3" w:name="_Toc187309149"/>
      <w:r w:rsidRPr="003C6EFE">
        <w:t>Landes- und Kommunalbeamten</w:t>
      </w:r>
      <w:bookmarkEnd w:id="3"/>
    </w:p>
    <w:p w14:paraId="540A0F81" w14:textId="75FC59D9" w:rsidR="0096797F" w:rsidRDefault="003838EB" w:rsidP="007F6737">
      <w:pPr>
        <w:numPr>
          <w:ilvl w:val="0"/>
          <w:numId w:val="0"/>
        </w:numPr>
        <w:ind w:left="397" w:hanging="397"/>
        <w:rPr>
          <w:sz w:val="21"/>
          <w:szCs w:val="21"/>
        </w:rPr>
      </w:pPr>
      <w:r w:rsidRPr="00557C26">
        <w:rPr>
          <w:rFonts w:cs="Arial"/>
          <w:sz w:val="21"/>
          <w:szCs w:val="21"/>
        </w:rPr>
        <w:t>&gt;</w:t>
      </w:r>
      <w:r w:rsidR="006126F6" w:rsidRPr="00557C26">
        <w:rPr>
          <w:sz w:val="21"/>
          <w:szCs w:val="21"/>
        </w:rPr>
        <w:t xml:space="preserve"> </w:t>
      </w:r>
      <w:r w:rsidRPr="00557C26">
        <w:rPr>
          <w:sz w:val="21"/>
          <w:szCs w:val="21"/>
        </w:rPr>
        <w:tab/>
      </w:r>
      <w:r w:rsidR="009650D4" w:rsidRPr="00557C26">
        <w:rPr>
          <w:sz w:val="21"/>
          <w:szCs w:val="21"/>
        </w:rPr>
        <w:t xml:space="preserve">Die </w:t>
      </w:r>
      <w:r w:rsidR="009650D4" w:rsidRPr="00557C26">
        <w:rPr>
          <w:b/>
          <w:sz w:val="21"/>
          <w:szCs w:val="21"/>
        </w:rPr>
        <w:t>Versorgung der Landes- und Kommunalbeamten</w:t>
      </w:r>
      <w:r w:rsidR="009650D4" w:rsidRPr="00557C26">
        <w:rPr>
          <w:sz w:val="21"/>
          <w:szCs w:val="21"/>
        </w:rPr>
        <w:t xml:space="preserve"> wird „</w:t>
      </w:r>
      <w:r w:rsidR="009650D4" w:rsidRPr="00557C26">
        <w:rPr>
          <w:b/>
          <w:sz w:val="21"/>
          <w:szCs w:val="21"/>
        </w:rPr>
        <w:t>extern</w:t>
      </w:r>
      <w:r w:rsidR="009650D4" w:rsidRPr="00557C26">
        <w:rPr>
          <w:sz w:val="21"/>
          <w:szCs w:val="21"/>
        </w:rPr>
        <w:t>“ geteilt. Das bedeutet, dass die Hälfte des ehezeitlichen Versorgungserwerbs eines Ehegatten aus diesen Versorgungssystemen zugunsten des anderen Ehegatten in der Deutschen Rentenversicherung (DRV) begründet wird. Dadurch entsteht der ausgleichsberechtigten Person kein Nachteil, da die Rentensteigerungen (Dynamik) der beiden Versorgungssysteme im langjährigen Durchschnitt nahezu identisch sind.</w:t>
      </w:r>
    </w:p>
    <w:p w14:paraId="57C16E7B" w14:textId="522D7FD0" w:rsidR="003C6EFE" w:rsidRPr="003C6EFE" w:rsidRDefault="003C6EFE" w:rsidP="0079319A">
      <w:pPr>
        <w:pStyle w:val="berschrift2"/>
        <w:numPr>
          <w:ilvl w:val="1"/>
          <w:numId w:val="7"/>
        </w:numPr>
      </w:pPr>
      <w:bookmarkStart w:id="4" w:name="_Toc187309150"/>
      <w:r w:rsidRPr="003C6EFE">
        <w:t>Bundesbeamten, Soldaten und Bundesrichtern</w:t>
      </w:r>
      <w:bookmarkEnd w:id="4"/>
    </w:p>
    <w:p w14:paraId="2101AEE4" w14:textId="69FE8980" w:rsidR="00C9453F"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 xml:space="preserve"> </w:t>
      </w:r>
      <w:r w:rsidRPr="00557C26">
        <w:rPr>
          <w:sz w:val="21"/>
          <w:szCs w:val="21"/>
        </w:rPr>
        <w:tab/>
      </w:r>
      <w:r w:rsidR="00C9453F" w:rsidRPr="00557C26">
        <w:rPr>
          <w:sz w:val="21"/>
          <w:szCs w:val="21"/>
        </w:rPr>
        <w:t xml:space="preserve">Versorgungen von </w:t>
      </w:r>
      <w:r w:rsidR="00C9453F" w:rsidRPr="00557C26">
        <w:rPr>
          <w:b/>
          <w:sz w:val="21"/>
          <w:szCs w:val="21"/>
        </w:rPr>
        <w:t>Bundesbeamten, Soldaten und Bundesrichtern</w:t>
      </w:r>
      <w:r w:rsidR="00C9453F" w:rsidRPr="00557C26">
        <w:rPr>
          <w:sz w:val="21"/>
          <w:szCs w:val="21"/>
        </w:rPr>
        <w:t xml:space="preserve"> werden </w:t>
      </w:r>
      <w:r w:rsidR="00C9453F" w:rsidRPr="00557C26">
        <w:rPr>
          <w:b/>
          <w:sz w:val="21"/>
          <w:szCs w:val="21"/>
        </w:rPr>
        <w:t>intern</w:t>
      </w:r>
      <w:r w:rsidR="00C9453F" w:rsidRPr="00557C26">
        <w:rPr>
          <w:sz w:val="21"/>
          <w:szCs w:val="21"/>
        </w:rPr>
        <w:t xml:space="preserve"> geteilt, die ausgleichsberechtigte Person erhält dadurch einen beamtenrechtlichen Versorgungsanspruch.</w:t>
      </w:r>
    </w:p>
    <w:p w14:paraId="72DD8416" w14:textId="5571A53E" w:rsidR="003C6EFE" w:rsidRPr="003C6EFE" w:rsidRDefault="003C6EFE" w:rsidP="003C6EFE">
      <w:pPr>
        <w:pStyle w:val="berschrift2"/>
      </w:pPr>
      <w:bookmarkStart w:id="5" w:name="_Toc187309151"/>
      <w:r w:rsidRPr="003C6EFE">
        <w:lastRenderedPageBreak/>
        <w:t>Berufsständische Versorgungswerke</w:t>
      </w:r>
      <w:bookmarkEnd w:id="5"/>
    </w:p>
    <w:p w14:paraId="589F314D" w14:textId="40ED372B" w:rsidR="0017767A"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 xml:space="preserve"> </w:t>
      </w:r>
      <w:r w:rsidRPr="00557C26">
        <w:rPr>
          <w:sz w:val="21"/>
          <w:szCs w:val="21"/>
        </w:rPr>
        <w:tab/>
      </w:r>
      <w:r w:rsidR="0017767A" w:rsidRPr="00557C26">
        <w:rPr>
          <w:sz w:val="21"/>
          <w:szCs w:val="21"/>
        </w:rPr>
        <w:t xml:space="preserve">Die </w:t>
      </w:r>
      <w:r w:rsidR="0017767A" w:rsidRPr="00557C26">
        <w:rPr>
          <w:b/>
          <w:sz w:val="21"/>
          <w:szCs w:val="21"/>
        </w:rPr>
        <w:t>Versorgungen der berufsständischen Versorgungswerke</w:t>
      </w:r>
      <w:r w:rsidR="0017767A" w:rsidRPr="00557C26">
        <w:rPr>
          <w:sz w:val="21"/>
          <w:szCs w:val="21"/>
        </w:rPr>
        <w:t xml:space="preserve">, wie z.B. der Ärzte, Rechtsanwälte, </w:t>
      </w:r>
      <w:r w:rsidR="006428BE" w:rsidRPr="00557C26">
        <w:rPr>
          <w:sz w:val="21"/>
          <w:szCs w:val="21"/>
        </w:rPr>
        <w:t xml:space="preserve">Architekten </w:t>
      </w:r>
      <w:r w:rsidR="0017767A" w:rsidRPr="00557C26">
        <w:rPr>
          <w:sz w:val="21"/>
          <w:szCs w:val="21"/>
        </w:rPr>
        <w:t xml:space="preserve">u.a. werden zwar immer </w:t>
      </w:r>
      <w:r w:rsidR="0017767A" w:rsidRPr="00557C26">
        <w:rPr>
          <w:b/>
          <w:sz w:val="21"/>
          <w:szCs w:val="21"/>
        </w:rPr>
        <w:t>intern</w:t>
      </w:r>
      <w:r w:rsidR="0017767A" w:rsidRPr="00557C26">
        <w:rPr>
          <w:sz w:val="21"/>
          <w:szCs w:val="21"/>
        </w:rPr>
        <w:t xml:space="preserve"> geteilt mit der Folge, dass die ausgleichsberechtigte Person innerhalb dieses berufsständischen Versorgungssystems eine Versorgung in Höhe der Hälfte des ehezeitlichen Versorgungserwerbs erhält, jedoch entfällt in diesen Versorgungssystemen häufig die Invaliditäts- und Hinterbliebenenversorgung für die ausgleichsberechtigte Person. Zum Ausgleich wird ein Zuschlag zur Altersrente gezahlt.</w:t>
      </w:r>
    </w:p>
    <w:p w14:paraId="7154AD94" w14:textId="77777777" w:rsidR="000B1260" w:rsidRDefault="000B1260" w:rsidP="007F6737">
      <w:pPr>
        <w:numPr>
          <w:ilvl w:val="0"/>
          <w:numId w:val="0"/>
        </w:numPr>
        <w:ind w:left="397" w:hanging="397"/>
        <w:rPr>
          <w:sz w:val="21"/>
          <w:szCs w:val="21"/>
        </w:rPr>
      </w:pPr>
    </w:p>
    <w:p w14:paraId="3E4A4BCF" w14:textId="434B265B" w:rsidR="003C6EFE" w:rsidRPr="00557C26" w:rsidRDefault="003C6EFE" w:rsidP="003C6EFE">
      <w:pPr>
        <w:pStyle w:val="berschrift2"/>
      </w:pPr>
      <w:bookmarkStart w:id="6" w:name="_Toc187309152"/>
      <w:r w:rsidRPr="00557C26">
        <w:t>Betriebsrenten</w:t>
      </w:r>
      <w:bookmarkEnd w:id="6"/>
    </w:p>
    <w:p w14:paraId="6E3333F5" w14:textId="5AFCA233" w:rsidR="00876F71"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 xml:space="preserve"> </w:t>
      </w:r>
      <w:r w:rsidRPr="00557C26">
        <w:rPr>
          <w:sz w:val="21"/>
          <w:szCs w:val="21"/>
        </w:rPr>
        <w:tab/>
      </w:r>
      <w:r w:rsidR="0017767A" w:rsidRPr="00557C26">
        <w:rPr>
          <w:b/>
          <w:sz w:val="21"/>
          <w:szCs w:val="21"/>
        </w:rPr>
        <w:t>Betriebsrenten</w:t>
      </w:r>
      <w:r w:rsidR="0017767A" w:rsidRPr="00557C26">
        <w:rPr>
          <w:sz w:val="21"/>
          <w:szCs w:val="21"/>
        </w:rPr>
        <w:t xml:space="preserve"> sind in der Regel </w:t>
      </w:r>
      <w:r w:rsidR="0017767A" w:rsidRPr="00557C26">
        <w:rPr>
          <w:b/>
          <w:sz w:val="21"/>
          <w:szCs w:val="21"/>
        </w:rPr>
        <w:t>intern</w:t>
      </w:r>
      <w:r w:rsidR="0017767A" w:rsidRPr="00557C26">
        <w:rPr>
          <w:sz w:val="21"/>
          <w:szCs w:val="21"/>
        </w:rPr>
        <w:t xml:space="preserve"> zu teilen. Dann erhält der ausgl</w:t>
      </w:r>
      <w:r w:rsidR="00ED5D1B" w:rsidRPr="00557C26">
        <w:rPr>
          <w:sz w:val="21"/>
          <w:szCs w:val="21"/>
        </w:rPr>
        <w:t>eichs</w:t>
      </w:r>
      <w:r w:rsidR="0017767A" w:rsidRPr="00557C26">
        <w:rPr>
          <w:sz w:val="21"/>
          <w:szCs w:val="21"/>
        </w:rPr>
        <w:t>ber</w:t>
      </w:r>
      <w:r w:rsidR="00ED5D1B" w:rsidRPr="00557C26">
        <w:rPr>
          <w:sz w:val="21"/>
          <w:szCs w:val="21"/>
        </w:rPr>
        <w:t>echtigte</w:t>
      </w:r>
      <w:r w:rsidR="0017767A" w:rsidRPr="00557C26">
        <w:rPr>
          <w:sz w:val="21"/>
          <w:szCs w:val="21"/>
        </w:rPr>
        <w:t>. Ehegatte die Hälfte des während der Ehe erworbenen Versorgungsanrechts</w:t>
      </w:r>
      <w:r w:rsidR="006428BE" w:rsidRPr="00557C26">
        <w:rPr>
          <w:sz w:val="21"/>
          <w:szCs w:val="21"/>
        </w:rPr>
        <w:t xml:space="preserve"> und erlangt die Stellung eines ausgeschiedenen Beschäftigten</w:t>
      </w:r>
      <w:r w:rsidR="0017767A" w:rsidRPr="00557C26">
        <w:rPr>
          <w:sz w:val="21"/>
          <w:szCs w:val="21"/>
        </w:rPr>
        <w:t xml:space="preserve">, wird also „Betriebsrentner“. Auch wenn die „interne Teilung“ von Betriebsrenten die Regel ist, bieten betriebliche Versorgungsträger </w:t>
      </w:r>
      <w:r w:rsidR="006428BE" w:rsidRPr="00557C26">
        <w:rPr>
          <w:sz w:val="21"/>
          <w:szCs w:val="21"/>
        </w:rPr>
        <w:t xml:space="preserve">vereinzelt </w:t>
      </w:r>
      <w:r w:rsidR="0017767A" w:rsidRPr="00557C26">
        <w:rPr>
          <w:sz w:val="21"/>
          <w:szCs w:val="21"/>
        </w:rPr>
        <w:t xml:space="preserve">auch </w:t>
      </w:r>
      <w:r w:rsidR="006428BE" w:rsidRPr="00557C26">
        <w:rPr>
          <w:sz w:val="21"/>
          <w:szCs w:val="21"/>
        </w:rPr>
        <w:t xml:space="preserve">dann </w:t>
      </w:r>
      <w:r w:rsidR="0017767A" w:rsidRPr="00557C26">
        <w:rPr>
          <w:sz w:val="21"/>
          <w:szCs w:val="21"/>
        </w:rPr>
        <w:t>die „externe Teilung“ von Versorgungen an</w:t>
      </w:r>
      <w:r w:rsidR="006428BE" w:rsidRPr="00557C26">
        <w:rPr>
          <w:sz w:val="21"/>
          <w:szCs w:val="21"/>
        </w:rPr>
        <w:t xml:space="preserve">, wenn die gesetzlichen Grenzwerte </w:t>
      </w:r>
      <w:r w:rsidR="00A96B43">
        <w:rPr>
          <w:sz w:val="21"/>
          <w:szCs w:val="21"/>
        </w:rPr>
        <w:t xml:space="preserve">(derzeit 70,70 € Rente oder 8.484 € Kapital) </w:t>
      </w:r>
      <w:r w:rsidR="006428BE" w:rsidRPr="00557C26">
        <w:rPr>
          <w:sz w:val="21"/>
          <w:szCs w:val="21"/>
        </w:rPr>
        <w:t>überschritten werden</w:t>
      </w:r>
      <w:r w:rsidR="0017767A" w:rsidRPr="00557C26">
        <w:rPr>
          <w:sz w:val="21"/>
          <w:szCs w:val="21"/>
        </w:rPr>
        <w:t xml:space="preserve">. </w:t>
      </w:r>
      <w:r w:rsidR="00DF7DF8">
        <w:rPr>
          <w:sz w:val="21"/>
          <w:szCs w:val="21"/>
        </w:rPr>
        <w:t xml:space="preserve"> Für die ausgleichsberechtigte Person ist in diesen Fällen zu prüfen</w:t>
      </w:r>
      <w:r w:rsidR="00935447">
        <w:rPr>
          <w:sz w:val="21"/>
          <w:szCs w:val="21"/>
        </w:rPr>
        <w:t>, ob die externe Teilung zu einem angemessenen Versorgungsertrag für sie führt. In der Regel wird dies</w:t>
      </w:r>
      <w:r w:rsidR="00DB569F">
        <w:rPr>
          <w:sz w:val="21"/>
          <w:szCs w:val="21"/>
        </w:rPr>
        <w:t xml:space="preserve"> der Fall sein, wenn das Gericht des Versorgungsträger verpflichtet, den Ausgleichswert als Beitrag in die</w:t>
      </w:r>
      <w:r w:rsidR="00935447">
        <w:rPr>
          <w:sz w:val="21"/>
          <w:szCs w:val="21"/>
        </w:rPr>
        <w:t xml:space="preserve"> Gesetzliche Rentenversicherung </w:t>
      </w:r>
      <w:r w:rsidR="00DB569F">
        <w:rPr>
          <w:sz w:val="21"/>
          <w:szCs w:val="21"/>
        </w:rPr>
        <w:t>für die ausgleichsberechtigte Person einzuzahlen.</w:t>
      </w:r>
      <w:r w:rsidR="00935447">
        <w:rPr>
          <w:sz w:val="21"/>
          <w:szCs w:val="21"/>
        </w:rPr>
        <w:t xml:space="preserve"> </w:t>
      </w:r>
      <w:r w:rsidR="00DB569F">
        <w:rPr>
          <w:sz w:val="21"/>
          <w:szCs w:val="21"/>
        </w:rPr>
        <w:t>E</w:t>
      </w:r>
      <w:r w:rsidR="00935447">
        <w:rPr>
          <w:sz w:val="21"/>
          <w:szCs w:val="21"/>
        </w:rPr>
        <w:t>s kommt aber stets auf den Einzelfall an.</w:t>
      </w:r>
    </w:p>
    <w:p w14:paraId="2529D331" w14:textId="5097C84E" w:rsidR="00C57B08" w:rsidRPr="00557C26" w:rsidRDefault="00C57B08" w:rsidP="00C57B08">
      <w:pPr>
        <w:pStyle w:val="berschrift2"/>
      </w:pPr>
      <w:bookmarkStart w:id="7" w:name="_Toc187309153"/>
      <w:r w:rsidRPr="00557C26">
        <w:t>Direktzusagen</w:t>
      </w:r>
      <w:bookmarkEnd w:id="7"/>
    </w:p>
    <w:p w14:paraId="3D5D27CE" w14:textId="522413C0" w:rsidR="0017767A"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 xml:space="preserve"> </w:t>
      </w:r>
      <w:r w:rsidRPr="00557C26">
        <w:rPr>
          <w:sz w:val="21"/>
          <w:szCs w:val="21"/>
        </w:rPr>
        <w:tab/>
      </w:r>
      <w:r w:rsidR="0017767A" w:rsidRPr="00557C26">
        <w:rPr>
          <w:b/>
          <w:sz w:val="21"/>
          <w:szCs w:val="21"/>
        </w:rPr>
        <w:t>Betriebsrenten</w:t>
      </w:r>
      <w:r w:rsidR="006428BE" w:rsidRPr="00557C26">
        <w:rPr>
          <w:b/>
          <w:sz w:val="21"/>
          <w:szCs w:val="21"/>
        </w:rPr>
        <w:t>ansprüche</w:t>
      </w:r>
      <w:r w:rsidR="0017767A" w:rsidRPr="00557C26">
        <w:rPr>
          <w:sz w:val="21"/>
          <w:szCs w:val="21"/>
        </w:rPr>
        <w:t xml:space="preserve"> aus sogenannten </w:t>
      </w:r>
      <w:r w:rsidR="0017767A" w:rsidRPr="00557C26">
        <w:rPr>
          <w:b/>
          <w:sz w:val="21"/>
          <w:szCs w:val="21"/>
        </w:rPr>
        <w:t>Direktzusagen</w:t>
      </w:r>
      <w:r w:rsidR="0017767A" w:rsidRPr="00557C26">
        <w:rPr>
          <w:sz w:val="21"/>
          <w:szCs w:val="21"/>
        </w:rPr>
        <w:t xml:space="preserve"> des Arbeitgebers und aus </w:t>
      </w:r>
      <w:r w:rsidR="0017767A" w:rsidRPr="00557C26">
        <w:rPr>
          <w:b/>
          <w:sz w:val="21"/>
          <w:szCs w:val="21"/>
        </w:rPr>
        <w:t>Unterstützungskassen</w:t>
      </w:r>
      <w:r w:rsidR="0017767A" w:rsidRPr="00557C26">
        <w:rPr>
          <w:sz w:val="21"/>
          <w:szCs w:val="21"/>
        </w:rPr>
        <w:t xml:space="preserve"> können jedoch </w:t>
      </w:r>
      <w:r w:rsidR="006428BE" w:rsidRPr="00557C26">
        <w:rPr>
          <w:sz w:val="21"/>
          <w:szCs w:val="21"/>
        </w:rPr>
        <w:t>auf Verlangen</w:t>
      </w:r>
      <w:r w:rsidR="0017767A" w:rsidRPr="00557C26">
        <w:rPr>
          <w:sz w:val="21"/>
          <w:szCs w:val="21"/>
        </w:rPr>
        <w:t xml:space="preserve"> des Versorgungsträgers bis zu einem relativ hohen </w:t>
      </w:r>
      <w:r w:rsidR="006428BE" w:rsidRPr="00557C26">
        <w:rPr>
          <w:sz w:val="21"/>
          <w:szCs w:val="21"/>
        </w:rPr>
        <w:t xml:space="preserve">Ausgleichswert </w:t>
      </w:r>
      <w:r w:rsidR="0017767A" w:rsidRPr="00557C26">
        <w:rPr>
          <w:sz w:val="21"/>
          <w:szCs w:val="21"/>
        </w:rPr>
        <w:t xml:space="preserve">(derzeit 90.600 €) extern geteilt werden. Der Ausgleichsberechtigte erhält diesen Betrag jedoch nicht ausgezahlt. Vielmehr muss dieser Ausgleichsbetrag in ein anderes Versorgungssystem eingezahlt werden (Zielversorgung). In der Regel ist die gesetzliche Rentenversicherung (DRV) die </w:t>
      </w:r>
      <w:r w:rsidR="006428BE" w:rsidRPr="00557C26">
        <w:rPr>
          <w:sz w:val="21"/>
          <w:szCs w:val="21"/>
        </w:rPr>
        <w:t xml:space="preserve">geeignete </w:t>
      </w:r>
      <w:r w:rsidR="0017767A" w:rsidRPr="00557C26">
        <w:rPr>
          <w:sz w:val="21"/>
          <w:szCs w:val="21"/>
        </w:rPr>
        <w:t xml:space="preserve">Zielversorgung, die in der Regel auch eine höhere Rente aus dem Ausgleichswert </w:t>
      </w:r>
      <w:r w:rsidR="006428BE" w:rsidRPr="00557C26">
        <w:rPr>
          <w:sz w:val="21"/>
          <w:szCs w:val="21"/>
        </w:rPr>
        <w:t xml:space="preserve">in Aussicht stellt, </w:t>
      </w:r>
      <w:r w:rsidR="0017767A" w:rsidRPr="00557C26">
        <w:rPr>
          <w:sz w:val="21"/>
          <w:szCs w:val="21"/>
        </w:rPr>
        <w:t>als die auszugleichende Versorgung.</w:t>
      </w:r>
      <w:r w:rsidR="006428BE" w:rsidRPr="00557C26">
        <w:rPr>
          <w:sz w:val="21"/>
          <w:szCs w:val="21"/>
        </w:rPr>
        <w:t xml:space="preserve"> </w:t>
      </w:r>
    </w:p>
    <w:p w14:paraId="5AFF9FF9" w14:textId="1BA8FF5B" w:rsidR="00C57B08" w:rsidRPr="00557C26" w:rsidRDefault="00C57B08" w:rsidP="00C57B08">
      <w:pPr>
        <w:pStyle w:val="berschrift2"/>
      </w:pPr>
      <w:bookmarkStart w:id="8" w:name="_Toc187309154"/>
      <w:r w:rsidRPr="00557C26">
        <w:t>Private Rentenversorgungen</w:t>
      </w:r>
      <w:bookmarkEnd w:id="8"/>
    </w:p>
    <w:p w14:paraId="39CCCF98" w14:textId="137D18B6" w:rsidR="00CE7040"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 xml:space="preserve"> </w:t>
      </w:r>
      <w:r w:rsidRPr="00557C26">
        <w:rPr>
          <w:sz w:val="21"/>
          <w:szCs w:val="21"/>
        </w:rPr>
        <w:tab/>
      </w:r>
      <w:r w:rsidR="00611EB1" w:rsidRPr="00557C26">
        <w:rPr>
          <w:b/>
          <w:sz w:val="21"/>
          <w:szCs w:val="21"/>
        </w:rPr>
        <w:t>Private Rentenversorgungen</w:t>
      </w:r>
      <w:r w:rsidR="00611EB1" w:rsidRPr="00557C26">
        <w:rPr>
          <w:sz w:val="21"/>
          <w:szCs w:val="21"/>
        </w:rPr>
        <w:t xml:space="preserve"> werden in der Regel „intern“ geteilt</w:t>
      </w:r>
      <w:r w:rsidR="00F77D30" w:rsidRPr="00557C26">
        <w:rPr>
          <w:sz w:val="21"/>
          <w:szCs w:val="21"/>
        </w:rPr>
        <w:t xml:space="preserve">, sofern </w:t>
      </w:r>
      <w:r w:rsidR="00A96B43">
        <w:rPr>
          <w:sz w:val="21"/>
          <w:szCs w:val="21"/>
        </w:rPr>
        <w:t xml:space="preserve"> der Ausgleichswert die Grenzwerte 70,70 € bzw. 8.484 €überschreitet.</w:t>
      </w:r>
      <w:r w:rsidR="00F77D30" w:rsidRPr="00557C26">
        <w:rPr>
          <w:sz w:val="21"/>
          <w:szCs w:val="21"/>
        </w:rPr>
        <w:t xml:space="preserve"> </w:t>
      </w:r>
      <w:r w:rsidR="00611EB1" w:rsidRPr="00557C26">
        <w:rPr>
          <w:sz w:val="21"/>
          <w:szCs w:val="21"/>
        </w:rPr>
        <w:t xml:space="preserve">Allerdings versuchen einige Versicherungsgesellschaften dies dadurch zu umgehen, dass sie </w:t>
      </w:r>
      <w:r w:rsidR="007F6737" w:rsidRPr="00557C26">
        <w:rPr>
          <w:sz w:val="21"/>
          <w:szCs w:val="21"/>
        </w:rPr>
        <w:t xml:space="preserve">– </w:t>
      </w:r>
      <w:r w:rsidR="00F77D30" w:rsidRPr="00557C26">
        <w:rPr>
          <w:sz w:val="21"/>
          <w:szCs w:val="21"/>
        </w:rPr>
        <w:t xml:space="preserve">ggf. </w:t>
      </w:r>
      <w:r w:rsidR="007F6737" w:rsidRPr="00557C26">
        <w:rPr>
          <w:sz w:val="21"/>
          <w:szCs w:val="21"/>
        </w:rPr>
        <w:t>an de</w:t>
      </w:r>
      <w:r w:rsidR="00F77D30" w:rsidRPr="00557C26">
        <w:rPr>
          <w:sz w:val="21"/>
          <w:szCs w:val="21"/>
        </w:rPr>
        <w:t xml:space="preserve">n Bevollmächtigten </w:t>
      </w:r>
      <w:r w:rsidR="007F6737" w:rsidRPr="00557C26">
        <w:rPr>
          <w:sz w:val="21"/>
          <w:szCs w:val="21"/>
        </w:rPr>
        <w:t>vorbei – der ausgleichsberechtigten Person anbieten, einen neuen Versicherungsvertrag abzuschließen, der dann natürlich schlechtere Konditionen als der zu teilende Versicherungsvertrag aufweist. Fallen Sie auf diesen Trick bitte nicht herein, sondern informieren Sie Ihre Rechtsvertretung.</w:t>
      </w:r>
    </w:p>
    <w:p w14:paraId="433AB5D7" w14:textId="3E5ECC47" w:rsidR="00C57B08" w:rsidRPr="00557C26" w:rsidRDefault="00C57B08" w:rsidP="00C57B08">
      <w:pPr>
        <w:pStyle w:val="berschrift2"/>
      </w:pPr>
      <w:bookmarkStart w:id="9" w:name="_Toc187309155"/>
      <w:r w:rsidRPr="00557C26">
        <w:t>Ausländische und supranationale Versorgungen</w:t>
      </w:r>
      <w:bookmarkEnd w:id="9"/>
    </w:p>
    <w:p w14:paraId="0144D82F" w14:textId="0B02E957" w:rsidR="007F6737" w:rsidRPr="00557C26"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 xml:space="preserve"> </w:t>
      </w:r>
      <w:r w:rsidRPr="00557C26">
        <w:rPr>
          <w:sz w:val="21"/>
          <w:szCs w:val="21"/>
        </w:rPr>
        <w:tab/>
      </w:r>
      <w:r w:rsidR="007F6737" w:rsidRPr="00557C26">
        <w:rPr>
          <w:sz w:val="21"/>
          <w:szCs w:val="21"/>
        </w:rPr>
        <w:t>A</w:t>
      </w:r>
      <w:r w:rsidR="00EB042B" w:rsidRPr="00557C26">
        <w:rPr>
          <w:b/>
          <w:sz w:val="21"/>
          <w:szCs w:val="21"/>
        </w:rPr>
        <w:t>usländische und supranationale Versorgungen</w:t>
      </w:r>
      <w:r w:rsidR="00EB042B" w:rsidRPr="00557C26">
        <w:rPr>
          <w:sz w:val="21"/>
          <w:szCs w:val="21"/>
        </w:rPr>
        <w:t xml:space="preserve"> </w:t>
      </w:r>
      <w:r w:rsidR="007F6737" w:rsidRPr="00557C26">
        <w:rPr>
          <w:sz w:val="21"/>
          <w:szCs w:val="21"/>
        </w:rPr>
        <w:t xml:space="preserve">unterliegen </w:t>
      </w:r>
      <w:r w:rsidR="00EB042B" w:rsidRPr="00557C26">
        <w:rPr>
          <w:sz w:val="21"/>
          <w:szCs w:val="21"/>
        </w:rPr>
        <w:t>nicht der deutschen Gerichtsbarkeit</w:t>
      </w:r>
      <w:r w:rsidR="00F77D30" w:rsidRPr="00557C26">
        <w:rPr>
          <w:sz w:val="21"/>
          <w:szCs w:val="21"/>
        </w:rPr>
        <w:t xml:space="preserve">. In diesem Fall </w:t>
      </w:r>
      <w:r w:rsidR="00EB042B" w:rsidRPr="00557C26">
        <w:rPr>
          <w:sz w:val="21"/>
          <w:szCs w:val="21"/>
        </w:rPr>
        <w:t xml:space="preserve">kann ein deutsches Gericht </w:t>
      </w:r>
      <w:r w:rsidR="00F77D30" w:rsidRPr="00557C26">
        <w:rPr>
          <w:sz w:val="21"/>
          <w:szCs w:val="21"/>
        </w:rPr>
        <w:t xml:space="preserve">solche </w:t>
      </w:r>
      <w:r w:rsidR="00EB042B" w:rsidRPr="00557C26">
        <w:rPr>
          <w:sz w:val="21"/>
          <w:szCs w:val="21"/>
        </w:rPr>
        <w:t xml:space="preserve">Versorgungen nicht teilen, sondern nur den sogenannten „Versorgungsausgleich nach der Scheidung“ und damit den </w:t>
      </w:r>
      <w:r w:rsidR="00A96B43">
        <w:rPr>
          <w:sz w:val="21"/>
          <w:szCs w:val="21"/>
        </w:rPr>
        <w:t>„</w:t>
      </w:r>
      <w:r w:rsidR="00EB042B" w:rsidRPr="00557C26">
        <w:rPr>
          <w:sz w:val="21"/>
          <w:szCs w:val="21"/>
        </w:rPr>
        <w:t>schuldrechtlichen Versorgungsausgleich</w:t>
      </w:r>
      <w:r w:rsidR="00A96B43">
        <w:rPr>
          <w:sz w:val="21"/>
          <w:szCs w:val="21"/>
        </w:rPr>
        <w:t>“</w:t>
      </w:r>
      <w:r w:rsidR="00EB042B" w:rsidRPr="00557C26">
        <w:rPr>
          <w:sz w:val="21"/>
          <w:szCs w:val="21"/>
        </w:rPr>
        <w:t xml:space="preserve"> anordnen, der nicht durch die Versorgungsträger sondern durch Zahlung des Versorgungsbeziehers an den Ehegatten</w:t>
      </w:r>
      <w:r w:rsidR="007F6737" w:rsidRPr="00557C26">
        <w:rPr>
          <w:sz w:val="21"/>
          <w:szCs w:val="21"/>
        </w:rPr>
        <w:t xml:space="preserve"> erfolgt. Lassen Sie sich darüber von Ihrer rechtlichen Vertretung aufklären. Solche Anrechte können auch abgefunden oder verrechnet werden, damit dann mit der Ehescheidung das gesamte Verfahren auch ein für allemal abgeschlossen ist.</w:t>
      </w:r>
    </w:p>
    <w:p w14:paraId="58BFDFA3" w14:textId="73C9FC84" w:rsidR="00F13E76" w:rsidRPr="00557C26" w:rsidRDefault="003C6EFE" w:rsidP="003C6EFE">
      <w:pPr>
        <w:pStyle w:val="berschrift1"/>
      </w:pPr>
      <w:bookmarkStart w:id="10" w:name="_Toc187309156"/>
      <w:r>
        <w:t>A</w:t>
      </w:r>
      <w:r w:rsidR="00C16DA2" w:rsidRPr="00557C26">
        <w:t>bschließend</w:t>
      </w:r>
      <w:r>
        <w:t>e</w:t>
      </w:r>
      <w:r w:rsidR="00C16DA2" w:rsidRPr="00557C26">
        <w:t xml:space="preserve"> grundsätzliche Hinweise</w:t>
      </w:r>
      <w:bookmarkEnd w:id="10"/>
    </w:p>
    <w:p w14:paraId="566FD84A" w14:textId="031F1CCA" w:rsidR="00AF1A68" w:rsidRDefault="00AF1A68">
      <w:pPr>
        <w:pStyle w:val="Listenabsatz"/>
        <w:numPr>
          <w:ilvl w:val="0"/>
          <w:numId w:val="3"/>
        </w:numPr>
        <w:ind w:left="284" w:hanging="284"/>
        <w:rPr>
          <w:sz w:val="21"/>
          <w:szCs w:val="21"/>
        </w:rPr>
      </w:pPr>
      <w:r>
        <w:rPr>
          <w:sz w:val="21"/>
          <w:szCs w:val="21"/>
        </w:rPr>
        <w:t>Nachdem die Ehegatten die Fragebögen zum Versorgungsausgleich ausgefüllt haben, erteilen die Versorgungsträger über den ehezeitlichen Versorgungserwerb Auskunft. Diese Auskünfte sollten Sie nach Zugang auf Richtigkeit der darin enthaltenen Angaben (Beschäftigungszeit, Verdienst etc.) prüfen.</w:t>
      </w:r>
    </w:p>
    <w:p w14:paraId="5BA02216" w14:textId="77777777" w:rsidR="004B0DC2" w:rsidRDefault="004B0DC2" w:rsidP="00557C26">
      <w:pPr>
        <w:pStyle w:val="Listenabsatz"/>
        <w:numPr>
          <w:ilvl w:val="0"/>
          <w:numId w:val="0"/>
        </w:numPr>
        <w:ind w:left="284"/>
        <w:rPr>
          <w:sz w:val="21"/>
          <w:szCs w:val="21"/>
        </w:rPr>
      </w:pPr>
    </w:p>
    <w:p w14:paraId="53F35E82" w14:textId="634FFA94" w:rsidR="00CB5D7B" w:rsidRPr="00557C26" w:rsidRDefault="00CB5D7B" w:rsidP="00557C26">
      <w:pPr>
        <w:pStyle w:val="Listenabsatz"/>
        <w:numPr>
          <w:ilvl w:val="0"/>
          <w:numId w:val="3"/>
        </w:numPr>
        <w:ind w:left="284" w:hanging="284"/>
        <w:rPr>
          <w:sz w:val="21"/>
          <w:szCs w:val="21"/>
        </w:rPr>
      </w:pPr>
      <w:r w:rsidRPr="00557C26">
        <w:rPr>
          <w:b/>
          <w:sz w:val="21"/>
          <w:szCs w:val="21"/>
        </w:rPr>
        <w:t>Rentenwerte</w:t>
      </w:r>
      <w:r w:rsidRPr="00557C26">
        <w:rPr>
          <w:sz w:val="21"/>
          <w:szCs w:val="21"/>
        </w:rPr>
        <w:t>, die von den Versorgungsträgern in den Versorgungsauskünften mitgeteilt werden</w:t>
      </w:r>
      <w:r w:rsidR="00C16DA2" w:rsidRPr="00557C26">
        <w:rPr>
          <w:sz w:val="21"/>
          <w:szCs w:val="21"/>
        </w:rPr>
        <w:t>, sind</w:t>
      </w:r>
      <w:r w:rsidRPr="00557C26">
        <w:rPr>
          <w:sz w:val="21"/>
          <w:szCs w:val="21"/>
        </w:rPr>
        <w:t xml:space="preserve"> </w:t>
      </w:r>
      <w:r w:rsidR="00EC7610" w:rsidRPr="00557C26">
        <w:rPr>
          <w:b/>
          <w:sz w:val="21"/>
          <w:szCs w:val="21"/>
        </w:rPr>
        <w:t xml:space="preserve">in der Regel nicht </w:t>
      </w:r>
      <w:r w:rsidRPr="00557C26">
        <w:rPr>
          <w:b/>
          <w:sz w:val="21"/>
          <w:szCs w:val="21"/>
        </w:rPr>
        <w:t>miteinander vergleichbar</w:t>
      </w:r>
      <w:r w:rsidRPr="00557C26">
        <w:rPr>
          <w:sz w:val="21"/>
          <w:szCs w:val="21"/>
        </w:rPr>
        <w:t xml:space="preserve"> (Ausnahme: Beamtenversorgung und gesetzliche Rentenversicherung). Eine Rente ist nur so viel wert, wie man im Alter davon leben kann. </w:t>
      </w:r>
      <w:r w:rsidRPr="00557C26">
        <w:rPr>
          <w:b/>
          <w:sz w:val="21"/>
          <w:szCs w:val="21"/>
        </w:rPr>
        <w:t xml:space="preserve">Die Dynamik einer Rente ist ein wesentlicher </w:t>
      </w:r>
      <w:r w:rsidR="00F77D30" w:rsidRPr="00557C26">
        <w:rPr>
          <w:b/>
          <w:sz w:val="21"/>
          <w:szCs w:val="21"/>
        </w:rPr>
        <w:t xml:space="preserve">und hierfür </w:t>
      </w:r>
      <w:r w:rsidRPr="00557C26">
        <w:rPr>
          <w:b/>
          <w:sz w:val="21"/>
          <w:szCs w:val="21"/>
        </w:rPr>
        <w:t>wertbestimmender Faktor</w:t>
      </w:r>
      <w:r w:rsidRPr="00557C26">
        <w:rPr>
          <w:sz w:val="21"/>
          <w:szCs w:val="21"/>
        </w:rPr>
        <w:t>. Deshalb verbietet sich jeder Vergleich auf Rentenbasis, wenn die Dynamik der Versorgungen</w:t>
      </w:r>
      <w:r w:rsidR="00C9453F" w:rsidRPr="00557C26">
        <w:rPr>
          <w:sz w:val="21"/>
          <w:szCs w:val="21"/>
        </w:rPr>
        <w:t xml:space="preserve"> – wie fast immer - </w:t>
      </w:r>
      <w:r w:rsidRPr="00557C26">
        <w:rPr>
          <w:sz w:val="21"/>
          <w:szCs w:val="21"/>
        </w:rPr>
        <w:t>unterschiedlich ist.</w:t>
      </w:r>
    </w:p>
    <w:p w14:paraId="7D0EF403" w14:textId="0E4CFDB9" w:rsidR="00CB5D7B" w:rsidRPr="00557C26" w:rsidRDefault="00CB5D7B" w:rsidP="00557C26">
      <w:pPr>
        <w:pStyle w:val="Listenabsatz"/>
        <w:numPr>
          <w:ilvl w:val="0"/>
          <w:numId w:val="3"/>
        </w:numPr>
        <w:ind w:left="284" w:hanging="284"/>
        <w:rPr>
          <w:sz w:val="21"/>
          <w:szCs w:val="21"/>
        </w:rPr>
      </w:pPr>
      <w:r w:rsidRPr="00557C26">
        <w:rPr>
          <w:sz w:val="21"/>
          <w:szCs w:val="21"/>
        </w:rPr>
        <w:t xml:space="preserve">Auch die von den Versorgungsträgern mitgeteilten </w:t>
      </w:r>
      <w:r w:rsidRPr="00557C26">
        <w:rPr>
          <w:b/>
          <w:sz w:val="21"/>
          <w:szCs w:val="21"/>
        </w:rPr>
        <w:t>Kapitalwerte</w:t>
      </w:r>
      <w:r w:rsidRPr="00557C26">
        <w:rPr>
          <w:sz w:val="21"/>
          <w:szCs w:val="21"/>
        </w:rPr>
        <w:t xml:space="preserve"> der Versorgungen sind nur dann miteinander vergleichbar, wenn sie nach wirklich einheitlichen Kriterien berechnet wurden</w:t>
      </w:r>
      <w:r w:rsidR="00C16DA2" w:rsidRPr="00557C26">
        <w:rPr>
          <w:sz w:val="21"/>
          <w:szCs w:val="21"/>
        </w:rPr>
        <w:t xml:space="preserve"> - </w:t>
      </w:r>
      <w:r w:rsidRPr="00557C26">
        <w:rPr>
          <w:sz w:val="21"/>
          <w:szCs w:val="21"/>
        </w:rPr>
        <w:t>was fast nie der Fall ist.</w:t>
      </w:r>
    </w:p>
    <w:p w14:paraId="41B4253B" w14:textId="77777777" w:rsidR="00CB5D7B" w:rsidRPr="00557C26" w:rsidRDefault="00CB5D7B" w:rsidP="00557C26">
      <w:pPr>
        <w:pStyle w:val="Listenabsatz"/>
        <w:numPr>
          <w:ilvl w:val="0"/>
          <w:numId w:val="0"/>
        </w:numPr>
        <w:ind w:left="284" w:hanging="284"/>
        <w:rPr>
          <w:sz w:val="21"/>
          <w:szCs w:val="21"/>
        </w:rPr>
      </w:pPr>
    </w:p>
    <w:p w14:paraId="370511F0" w14:textId="3AAE62A5" w:rsidR="00CB5D7B" w:rsidRPr="00557C26" w:rsidRDefault="00CB5D7B" w:rsidP="00557C26">
      <w:pPr>
        <w:pStyle w:val="Listenabsatz"/>
        <w:numPr>
          <w:ilvl w:val="0"/>
          <w:numId w:val="3"/>
        </w:numPr>
        <w:ind w:left="284" w:hanging="284"/>
        <w:rPr>
          <w:sz w:val="21"/>
          <w:szCs w:val="21"/>
        </w:rPr>
      </w:pPr>
      <w:r w:rsidRPr="00557C26">
        <w:rPr>
          <w:sz w:val="21"/>
          <w:szCs w:val="21"/>
        </w:rPr>
        <w:t xml:space="preserve">Schließlich ist zu bedenken, dass </w:t>
      </w:r>
      <w:r w:rsidRPr="00557C26">
        <w:rPr>
          <w:b/>
          <w:sz w:val="21"/>
          <w:szCs w:val="21"/>
        </w:rPr>
        <w:t>Renten</w:t>
      </w:r>
      <w:r w:rsidRPr="00557C26">
        <w:rPr>
          <w:sz w:val="21"/>
          <w:szCs w:val="21"/>
        </w:rPr>
        <w:t xml:space="preserve"> unterschiedlicher Herkunft </w:t>
      </w:r>
      <w:r w:rsidRPr="00557C26">
        <w:rPr>
          <w:b/>
          <w:sz w:val="21"/>
          <w:szCs w:val="21"/>
        </w:rPr>
        <w:t>unterschiedlich mit Steuern und Sozialabgaben belastet</w:t>
      </w:r>
      <w:r w:rsidRPr="00557C26">
        <w:rPr>
          <w:sz w:val="21"/>
          <w:szCs w:val="21"/>
        </w:rPr>
        <w:t xml:space="preserve"> </w:t>
      </w:r>
      <w:r w:rsidR="00C16DA2" w:rsidRPr="00557C26">
        <w:rPr>
          <w:sz w:val="21"/>
          <w:szCs w:val="21"/>
        </w:rPr>
        <w:t>sein können</w:t>
      </w:r>
      <w:r w:rsidRPr="00557C26">
        <w:rPr>
          <w:sz w:val="21"/>
          <w:szCs w:val="21"/>
        </w:rPr>
        <w:t>.</w:t>
      </w:r>
    </w:p>
    <w:p w14:paraId="5B6DF7AB" w14:textId="3C54D319" w:rsidR="008A1F03" w:rsidRPr="00557C26" w:rsidRDefault="00CB5D7B" w:rsidP="00557C26">
      <w:pPr>
        <w:pStyle w:val="Listenabsatz"/>
        <w:numPr>
          <w:ilvl w:val="0"/>
          <w:numId w:val="3"/>
        </w:numPr>
        <w:ind w:left="284" w:hanging="284"/>
        <w:rPr>
          <w:sz w:val="21"/>
          <w:szCs w:val="21"/>
        </w:rPr>
      </w:pPr>
      <w:r w:rsidRPr="00557C26">
        <w:rPr>
          <w:sz w:val="21"/>
          <w:szCs w:val="21"/>
        </w:rPr>
        <w:t xml:space="preserve">Sollten Sie </w:t>
      </w:r>
      <w:r w:rsidR="00C16DA2" w:rsidRPr="00557C26">
        <w:rPr>
          <w:sz w:val="21"/>
          <w:szCs w:val="21"/>
        </w:rPr>
        <w:t xml:space="preserve">eine nach den §§ 6 – 8 VersAusglG denkbare Vereinbarungslösung in Erwägung ziehen und bspw. </w:t>
      </w:r>
      <w:r w:rsidRPr="00557C26">
        <w:rPr>
          <w:sz w:val="21"/>
          <w:szCs w:val="21"/>
        </w:rPr>
        <w:t xml:space="preserve">auf die Idee kommen, ein </w:t>
      </w:r>
      <w:r w:rsidRPr="00557C26">
        <w:rPr>
          <w:b/>
          <w:sz w:val="21"/>
          <w:szCs w:val="21"/>
        </w:rPr>
        <w:t>Haus gegen eine Rente</w:t>
      </w:r>
      <w:r w:rsidRPr="00557C26">
        <w:rPr>
          <w:sz w:val="21"/>
          <w:szCs w:val="21"/>
        </w:rPr>
        <w:t xml:space="preserve"> zu tauschen, indem Sie Ihre Haushälfte auf den anderen Ehegatten übertragen und dieser im Gegenzug auf den Ausgleich einer Ihrer Renten </w:t>
      </w:r>
      <w:r w:rsidR="00EC7610" w:rsidRPr="00557C26">
        <w:rPr>
          <w:sz w:val="21"/>
          <w:szCs w:val="21"/>
        </w:rPr>
        <w:t xml:space="preserve">teilweise oder ganz </w:t>
      </w:r>
      <w:r w:rsidRPr="00557C26">
        <w:rPr>
          <w:sz w:val="21"/>
          <w:szCs w:val="21"/>
        </w:rPr>
        <w:t>verzichtet</w:t>
      </w:r>
      <w:r w:rsidR="00C16DA2" w:rsidRPr="00557C26">
        <w:rPr>
          <w:sz w:val="21"/>
          <w:szCs w:val="21"/>
        </w:rPr>
        <w:t xml:space="preserve">. Dann </w:t>
      </w:r>
      <w:r w:rsidRPr="00557C26">
        <w:rPr>
          <w:sz w:val="21"/>
          <w:szCs w:val="21"/>
        </w:rPr>
        <w:t>bedenken Sie</w:t>
      </w:r>
      <w:r w:rsidR="003838EB" w:rsidRPr="00557C26">
        <w:rPr>
          <w:sz w:val="21"/>
          <w:szCs w:val="21"/>
        </w:rPr>
        <w:t xml:space="preserve"> bitte</w:t>
      </w:r>
      <w:r w:rsidRPr="00557C26">
        <w:rPr>
          <w:sz w:val="21"/>
          <w:szCs w:val="21"/>
        </w:rPr>
        <w:t>, dass die Übertragung des Hausanteils steuer- und abgabenfrei ist, Ihre Rente im Alter aber abgabenpflichtig ausgezahlt wird. Lassen Sie sich bei einer Vereinbarung</w:t>
      </w:r>
      <w:r w:rsidR="003838EB" w:rsidRPr="00557C26">
        <w:rPr>
          <w:sz w:val="21"/>
          <w:szCs w:val="21"/>
        </w:rPr>
        <w:t>, die Versorgungsansprüche miteinander oder gegen Vermögenswerte saldiert</w:t>
      </w:r>
      <w:r w:rsidRPr="00557C26">
        <w:rPr>
          <w:sz w:val="21"/>
          <w:szCs w:val="21"/>
        </w:rPr>
        <w:t xml:space="preserve"> gut </w:t>
      </w:r>
      <w:r w:rsidR="00EC7610" w:rsidRPr="00557C26">
        <w:rPr>
          <w:sz w:val="21"/>
          <w:szCs w:val="21"/>
        </w:rPr>
        <w:t xml:space="preserve">und fachkundig von der auf Fragen des Versorgungsausgleichs spezialisierten Anwalt- oder Rentenberaterschaft </w:t>
      </w:r>
      <w:r w:rsidR="003838EB" w:rsidRPr="00557C26">
        <w:rPr>
          <w:sz w:val="21"/>
          <w:szCs w:val="21"/>
        </w:rPr>
        <w:t>begleiten</w:t>
      </w:r>
      <w:r w:rsidRPr="00557C26">
        <w:rPr>
          <w:sz w:val="21"/>
          <w:szCs w:val="21"/>
        </w:rPr>
        <w:t xml:space="preserve">. </w:t>
      </w:r>
      <w:r w:rsidRPr="00557C26">
        <w:rPr>
          <w:b/>
          <w:sz w:val="21"/>
          <w:szCs w:val="21"/>
        </w:rPr>
        <w:t>Vereinbarungen sind im Familienrecht immer gut. Aber nur, wenn sie gut sind.</w:t>
      </w:r>
    </w:p>
    <w:p w14:paraId="24C34AC4" w14:textId="77777777" w:rsidR="00F13E76" w:rsidRPr="00557C26" w:rsidRDefault="00F13E76" w:rsidP="0035736A">
      <w:pPr>
        <w:numPr>
          <w:ilvl w:val="0"/>
          <w:numId w:val="0"/>
        </w:numPr>
        <w:rPr>
          <w:sz w:val="21"/>
          <w:szCs w:val="21"/>
        </w:rPr>
      </w:pPr>
    </w:p>
    <w:sectPr w:rsidR="00F13E76" w:rsidRPr="00557C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91E"/>
    <w:multiLevelType w:val="hybridMultilevel"/>
    <w:tmpl w:val="F2485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3D38DF"/>
    <w:multiLevelType w:val="hybridMultilevel"/>
    <w:tmpl w:val="EE247F18"/>
    <w:lvl w:ilvl="0" w:tplc="A962AA40">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9D20ABA"/>
    <w:multiLevelType w:val="hybridMultilevel"/>
    <w:tmpl w:val="60D2EB68"/>
    <w:lvl w:ilvl="0" w:tplc="7CE83776">
      <w:start w:val="1"/>
      <w:numFmt w:val="lowerLetter"/>
      <w:pStyle w:val="berschrift2"/>
      <w:lvlText w:val="%1)"/>
      <w:lvlJc w:val="left"/>
      <w:pPr>
        <w:ind w:left="1854" w:hanging="360"/>
      </w:pPr>
    </w:lvl>
    <w:lvl w:ilvl="1" w:tplc="04070019">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3" w15:restartNumberingAfterBreak="0">
    <w:nsid w:val="4FEF49FE"/>
    <w:multiLevelType w:val="hybridMultilevel"/>
    <w:tmpl w:val="CB76FA74"/>
    <w:lvl w:ilvl="0" w:tplc="4B126C6C">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14974CE"/>
    <w:multiLevelType w:val="hybridMultilevel"/>
    <w:tmpl w:val="63507D30"/>
    <w:lvl w:ilvl="0" w:tplc="7A5C76F8">
      <w:numFmt w:val="bullet"/>
      <w:lvlText w:val=""/>
      <w:lvlJc w:val="left"/>
      <w:pPr>
        <w:ind w:left="360" w:hanging="360"/>
      </w:pPr>
      <w:rPr>
        <w:rFonts w:ascii="Wingdings" w:eastAsiaTheme="minorHAnsi" w:hAnsi="Wingdings"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4987635"/>
    <w:multiLevelType w:val="hybridMultilevel"/>
    <w:tmpl w:val="65527284"/>
    <w:lvl w:ilvl="0" w:tplc="B5728A08">
      <w:start w:val="1"/>
      <w:numFmt w:val="decimal"/>
      <w:pStyle w:val="berschrift1"/>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6" w15:restartNumberingAfterBreak="0">
    <w:nsid w:val="69506502"/>
    <w:multiLevelType w:val="hybridMultilevel"/>
    <w:tmpl w:val="B8CAA84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74B34325"/>
    <w:multiLevelType w:val="hybridMultilevel"/>
    <w:tmpl w:val="3C40D726"/>
    <w:lvl w:ilvl="0" w:tplc="A8DEE476">
      <w:start w:val="1"/>
      <w:numFmt w:val="decimal"/>
      <w:pStyle w:val="Standard"/>
      <w:lvlText w:val="%1."/>
      <w:lvlJc w:val="left"/>
      <w:pPr>
        <w:ind w:left="1494" w:hanging="360"/>
      </w:pPr>
      <w:rPr>
        <w:rFonts w:hint="default"/>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8" w15:restartNumberingAfterBreak="0">
    <w:nsid w:val="74B501D9"/>
    <w:multiLevelType w:val="hybridMultilevel"/>
    <w:tmpl w:val="5FE2B752"/>
    <w:lvl w:ilvl="0" w:tplc="1B9EFA1A">
      <w:numFmt w:val="bullet"/>
      <w:lvlText w:val=""/>
      <w:lvlJc w:val="left"/>
      <w:pPr>
        <w:ind w:left="360" w:hanging="360"/>
      </w:pPr>
      <w:rPr>
        <w:rFonts w:ascii="Wingdings" w:eastAsiaTheme="minorHAnsi" w:hAnsi="Wingdings" w:cs="Arial" w:hint="default"/>
        <w:sz w:val="2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32833681">
    <w:abstractNumId w:val="7"/>
  </w:num>
  <w:num w:numId="2" w16cid:durableId="42486635">
    <w:abstractNumId w:val="0"/>
  </w:num>
  <w:num w:numId="3" w16cid:durableId="1764913553">
    <w:abstractNumId w:val="6"/>
  </w:num>
  <w:num w:numId="4" w16cid:durableId="1122000437">
    <w:abstractNumId w:val="3"/>
  </w:num>
  <w:num w:numId="5" w16cid:durableId="1387756698">
    <w:abstractNumId w:val="5"/>
  </w:num>
  <w:num w:numId="6" w16cid:durableId="1305306372">
    <w:abstractNumId w:val="7"/>
  </w:num>
  <w:num w:numId="7" w16cid:durableId="509879939">
    <w:abstractNumId w:val="2"/>
  </w:num>
  <w:num w:numId="8" w16cid:durableId="1361204260">
    <w:abstractNumId w:val="4"/>
  </w:num>
  <w:num w:numId="9" w16cid:durableId="96406905">
    <w:abstractNumId w:val="2"/>
  </w:num>
  <w:num w:numId="10" w16cid:durableId="769393387">
    <w:abstractNumId w:val="2"/>
  </w:num>
  <w:num w:numId="11" w16cid:durableId="2108307673">
    <w:abstractNumId w:val="8"/>
  </w:num>
  <w:num w:numId="12" w16cid:durableId="731657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D1A42F-AC0E-495D-AA95-345A13AA0350}"/>
    <w:docVar w:name="dgnword-eventsink" w:val="310676864"/>
  </w:docVars>
  <w:rsids>
    <w:rsidRoot w:val="006D5886"/>
    <w:rsid w:val="00012E71"/>
    <w:rsid w:val="00041847"/>
    <w:rsid w:val="000630C8"/>
    <w:rsid w:val="00091C57"/>
    <w:rsid w:val="000B1260"/>
    <w:rsid w:val="000F3D93"/>
    <w:rsid w:val="00103672"/>
    <w:rsid w:val="0017767A"/>
    <w:rsid w:val="00191239"/>
    <w:rsid w:val="002257C2"/>
    <w:rsid w:val="00226907"/>
    <w:rsid w:val="002A04B3"/>
    <w:rsid w:val="002D1011"/>
    <w:rsid w:val="002F6DB4"/>
    <w:rsid w:val="00326CF4"/>
    <w:rsid w:val="0035736A"/>
    <w:rsid w:val="003838EB"/>
    <w:rsid w:val="003C0F6B"/>
    <w:rsid w:val="003C6EFE"/>
    <w:rsid w:val="003E3004"/>
    <w:rsid w:val="00403BBF"/>
    <w:rsid w:val="004649A9"/>
    <w:rsid w:val="0048270C"/>
    <w:rsid w:val="004B0DC2"/>
    <w:rsid w:val="004B1F00"/>
    <w:rsid w:val="005247EE"/>
    <w:rsid w:val="00527FDE"/>
    <w:rsid w:val="005353E6"/>
    <w:rsid w:val="00557C26"/>
    <w:rsid w:val="00593830"/>
    <w:rsid w:val="005D0BB1"/>
    <w:rsid w:val="00611EB1"/>
    <w:rsid w:val="006126F6"/>
    <w:rsid w:val="006428BE"/>
    <w:rsid w:val="006A74A2"/>
    <w:rsid w:val="006C691D"/>
    <w:rsid w:val="006D5886"/>
    <w:rsid w:val="00753F0E"/>
    <w:rsid w:val="007769CC"/>
    <w:rsid w:val="0079319A"/>
    <w:rsid w:val="007C59DB"/>
    <w:rsid w:val="007F6737"/>
    <w:rsid w:val="00822EDB"/>
    <w:rsid w:val="00876F71"/>
    <w:rsid w:val="008A15CE"/>
    <w:rsid w:val="008A1F03"/>
    <w:rsid w:val="008C4CC5"/>
    <w:rsid w:val="00935447"/>
    <w:rsid w:val="009650D4"/>
    <w:rsid w:val="0096797F"/>
    <w:rsid w:val="009A28A0"/>
    <w:rsid w:val="009B393C"/>
    <w:rsid w:val="00A05307"/>
    <w:rsid w:val="00A44AFA"/>
    <w:rsid w:val="00A873F9"/>
    <w:rsid w:val="00A96B43"/>
    <w:rsid w:val="00AD1BAC"/>
    <w:rsid w:val="00AF1A68"/>
    <w:rsid w:val="00BC48D7"/>
    <w:rsid w:val="00C16DA2"/>
    <w:rsid w:val="00C17AFF"/>
    <w:rsid w:val="00C50915"/>
    <w:rsid w:val="00C57B08"/>
    <w:rsid w:val="00C9453F"/>
    <w:rsid w:val="00CB5D7B"/>
    <w:rsid w:val="00CE7040"/>
    <w:rsid w:val="00D32C04"/>
    <w:rsid w:val="00D34125"/>
    <w:rsid w:val="00D758E8"/>
    <w:rsid w:val="00D8062B"/>
    <w:rsid w:val="00DB569F"/>
    <w:rsid w:val="00DC4A49"/>
    <w:rsid w:val="00DE6431"/>
    <w:rsid w:val="00DF7DF8"/>
    <w:rsid w:val="00E36EEE"/>
    <w:rsid w:val="00E74A2F"/>
    <w:rsid w:val="00E96577"/>
    <w:rsid w:val="00EB042B"/>
    <w:rsid w:val="00EC7610"/>
    <w:rsid w:val="00ED5D1B"/>
    <w:rsid w:val="00EE04DC"/>
    <w:rsid w:val="00EE7D30"/>
    <w:rsid w:val="00F13E76"/>
    <w:rsid w:val="00F1490B"/>
    <w:rsid w:val="00F442D6"/>
    <w:rsid w:val="00F526EA"/>
    <w:rsid w:val="00F6545C"/>
    <w:rsid w:val="00F77D30"/>
    <w:rsid w:val="00F96ECD"/>
    <w:rsid w:val="00FA2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6633"/>
  <w15:chartTrackingRefBased/>
  <w15:docId w15:val="{A590294E-D040-4A75-A10A-B3EFFA21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1490B"/>
    <w:pPr>
      <w:numPr>
        <w:numId w:val="1"/>
      </w:numPr>
      <w:spacing w:before="120" w:after="120" w:line="240" w:lineRule="auto"/>
      <w:jc w:val="both"/>
    </w:pPr>
    <w:rPr>
      <w:rFonts w:ascii="Arial" w:hAnsi="Arial"/>
      <w:sz w:val="20"/>
    </w:rPr>
  </w:style>
  <w:style w:type="paragraph" w:styleId="berschrift1">
    <w:name w:val="heading 1"/>
    <w:basedOn w:val="Standard"/>
    <w:next w:val="Standard"/>
    <w:link w:val="berschrift1Zchn"/>
    <w:autoRedefine/>
    <w:uiPriority w:val="9"/>
    <w:qFormat/>
    <w:rsid w:val="003C6EFE"/>
    <w:pPr>
      <w:keepNext/>
      <w:keepLines/>
      <w:numPr>
        <w:numId w:val="5"/>
      </w:numPr>
      <w:spacing w:before="240" w:after="0"/>
      <w:outlineLvl w:val="0"/>
    </w:pPr>
    <w:rPr>
      <w:rFonts w:eastAsiaTheme="majorEastAsia" w:cs="Arial"/>
      <w:b/>
      <w:color w:val="2F5496" w:themeColor="accent1" w:themeShade="BF"/>
      <w:sz w:val="32"/>
      <w:szCs w:val="32"/>
    </w:rPr>
  </w:style>
  <w:style w:type="paragraph" w:styleId="berschrift2">
    <w:name w:val="heading 2"/>
    <w:basedOn w:val="Standard"/>
    <w:next w:val="Standard"/>
    <w:link w:val="berschrift2Zchn"/>
    <w:uiPriority w:val="9"/>
    <w:unhideWhenUsed/>
    <w:qFormat/>
    <w:rsid w:val="003C6EFE"/>
    <w:pPr>
      <w:keepNext/>
      <w:keepLines/>
      <w:numPr>
        <w:numId w:val="7"/>
      </w:numPr>
      <w:spacing w:before="40" w:after="0"/>
      <w:outlineLvl w:val="1"/>
    </w:pPr>
    <w:rPr>
      <w:rFonts w:eastAsiaTheme="majorEastAsia" w:cstheme="majorBidi"/>
      <w:b/>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3E76"/>
    <w:pPr>
      <w:ind w:left="720"/>
      <w:contextualSpacing/>
    </w:pPr>
  </w:style>
  <w:style w:type="paragraph" w:styleId="berarbeitung">
    <w:name w:val="Revision"/>
    <w:hidden/>
    <w:uiPriority w:val="99"/>
    <w:semiHidden/>
    <w:rsid w:val="002F6DB4"/>
    <w:pPr>
      <w:spacing w:after="0" w:line="240" w:lineRule="auto"/>
    </w:pPr>
    <w:rPr>
      <w:rFonts w:ascii="Arial" w:hAnsi="Arial"/>
      <w:sz w:val="20"/>
    </w:rPr>
  </w:style>
  <w:style w:type="paragraph" w:styleId="Sprechblasentext">
    <w:name w:val="Balloon Text"/>
    <w:basedOn w:val="Standard"/>
    <w:link w:val="SprechblasentextZchn"/>
    <w:uiPriority w:val="99"/>
    <w:semiHidden/>
    <w:unhideWhenUsed/>
    <w:rsid w:val="002257C2"/>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57C2"/>
    <w:rPr>
      <w:rFonts w:ascii="Segoe UI" w:hAnsi="Segoe UI" w:cs="Segoe UI"/>
      <w:sz w:val="18"/>
      <w:szCs w:val="18"/>
    </w:rPr>
  </w:style>
  <w:style w:type="character" w:customStyle="1" w:styleId="berschrift1Zchn">
    <w:name w:val="Überschrift 1 Zchn"/>
    <w:basedOn w:val="Absatz-Standardschriftart"/>
    <w:link w:val="berschrift1"/>
    <w:uiPriority w:val="9"/>
    <w:rsid w:val="003C6EFE"/>
    <w:rPr>
      <w:rFonts w:ascii="Arial" w:eastAsiaTheme="majorEastAsia" w:hAnsi="Arial" w:cs="Arial"/>
      <w:b/>
      <w:color w:val="2F5496" w:themeColor="accent1" w:themeShade="BF"/>
      <w:sz w:val="32"/>
      <w:szCs w:val="32"/>
    </w:rPr>
  </w:style>
  <w:style w:type="character" w:styleId="Hyperlink">
    <w:name w:val="Hyperlink"/>
    <w:basedOn w:val="Absatz-Standardschriftart"/>
    <w:uiPriority w:val="99"/>
    <w:unhideWhenUsed/>
    <w:rsid w:val="00557C26"/>
    <w:rPr>
      <w:color w:val="0563C1" w:themeColor="hyperlink"/>
      <w:u w:val="single"/>
    </w:rPr>
  </w:style>
  <w:style w:type="paragraph" w:styleId="KeinLeerraum">
    <w:name w:val="No Spacing"/>
    <w:uiPriority w:val="1"/>
    <w:qFormat/>
    <w:rsid w:val="00557C26"/>
    <w:pPr>
      <w:spacing w:after="0" w:line="240" w:lineRule="auto"/>
      <w:ind w:left="1494" w:hanging="360"/>
      <w:jc w:val="both"/>
    </w:pPr>
    <w:rPr>
      <w:rFonts w:ascii="Arial" w:hAnsi="Arial"/>
      <w:sz w:val="20"/>
    </w:rPr>
  </w:style>
  <w:style w:type="character" w:customStyle="1" w:styleId="berschrift2Zchn">
    <w:name w:val="Überschrift 2 Zchn"/>
    <w:basedOn w:val="Absatz-Standardschriftart"/>
    <w:link w:val="berschrift2"/>
    <w:uiPriority w:val="9"/>
    <w:rsid w:val="003C6EFE"/>
    <w:rPr>
      <w:rFonts w:ascii="Arial" w:eastAsiaTheme="majorEastAsia" w:hAnsi="Arial" w:cstheme="majorBidi"/>
      <w:b/>
      <w:color w:val="2F5496" w:themeColor="accent1" w:themeShade="BF"/>
      <w:sz w:val="26"/>
      <w:szCs w:val="26"/>
    </w:rPr>
  </w:style>
  <w:style w:type="paragraph" w:styleId="Inhaltsverzeichnisberschrift">
    <w:name w:val="TOC Heading"/>
    <w:basedOn w:val="berschrift1"/>
    <w:next w:val="Standard"/>
    <w:uiPriority w:val="39"/>
    <w:unhideWhenUsed/>
    <w:qFormat/>
    <w:rsid w:val="002A04B3"/>
    <w:pPr>
      <w:numPr>
        <w:numId w:val="0"/>
      </w:numPr>
      <w:spacing w:line="259" w:lineRule="auto"/>
      <w:jc w:val="left"/>
      <w:outlineLvl w:val="9"/>
    </w:pPr>
    <w:rPr>
      <w:rFonts w:asciiTheme="majorHAnsi" w:hAnsiTheme="majorHAnsi" w:cstheme="majorBidi"/>
      <w:b w:val="0"/>
      <w:lang w:eastAsia="de-DE"/>
    </w:rPr>
  </w:style>
  <w:style w:type="paragraph" w:styleId="Verzeichnis1">
    <w:name w:val="toc 1"/>
    <w:basedOn w:val="Standard"/>
    <w:next w:val="Standard"/>
    <w:autoRedefine/>
    <w:uiPriority w:val="39"/>
    <w:unhideWhenUsed/>
    <w:rsid w:val="002A04B3"/>
    <w:pPr>
      <w:spacing w:after="100"/>
      <w:ind w:left="0"/>
    </w:pPr>
  </w:style>
  <w:style w:type="paragraph" w:styleId="Verzeichnis2">
    <w:name w:val="toc 2"/>
    <w:basedOn w:val="Standard"/>
    <w:next w:val="Standard"/>
    <w:autoRedefine/>
    <w:uiPriority w:val="39"/>
    <w:unhideWhenUsed/>
    <w:rsid w:val="002A04B3"/>
    <w:pPr>
      <w:spacing w:after="100"/>
      <w:ind w:left="200"/>
    </w:pPr>
  </w:style>
  <w:style w:type="character" w:styleId="NichtaufgelsteErwhnung">
    <w:name w:val="Unresolved Mention"/>
    <w:basedOn w:val="Absatz-Standardschriftart"/>
    <w:uiPriority w:val="99"/>
    <w:semiHidden/>
    <w:unhideWhenUsed/>
    <w:rsid w:val="00C50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tenberater.berlin/" TargetMode="External"/><Relationship Id="rId3" Type="http://schemas.openxmlformats.org/officeDocument/2006/relationships/styles" Target="styles.xml"/><Relationship Id="rId7" Type="http://schemas.openxmlformats.org/officeDocument/2006/relationships/hyperlink" Target="http://www.anwaelte-du.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uss@anwaelte-du.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B85D1-4EA1-4A68-8CA3-BF49AB94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9665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Hauß</dc:creator>
  <cp:keywords/>
  <dc:description/>
  <cp:lastModifiedBy>Joern Hauss</cp:lastModifiedBy>
  <cp:revision>3</cp:revision>
  <cp:lastPrinted>2025-07-10T12:57:00Z</cp:lastPrinted>
  <dcterms:created xsi:type="dcterms:W3CDTF">2025-07-10T12:57:00Z</dcterms:created>
  <dcterms:modified xsi:type="dcterms:W3CDTF">2025-07-10T12:57:00Z</dcterms:modified>
</cp:coreProperties>
</file>