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C1A4" w14:textId="29A2CFC4" w:rsidR="00DB5DCF" w:rsidRDefault="00844BA5" w:rsidP="00844BA5">
      <w:pPr>
        <w:pStyle w:val="berschrift1"/>
        <w:tabs>
          <w:tab w:val="left" w:pos="9639"/>
        </w:tabs>
        <w:ind w:left="-1134"/>
      </w:pPr>
      <w:r>
        <w:t>Entscheidungsübersicht Versorgungsausgleich</w:t>
      </w:r>
      <w:r w:rsidR="0091153F">
        <w:t xml:space="preserve"> 1.3.2025 bis 31.5.2025</w:t>
      </w:r>
    </w:p>
    <w:tbl>
      <w:tblPr>
        <w:tblStyle w:val="Tabellenraster"/>
        <w:tblW w:w="14601" w:type="dxa"/>
        <w:tblInd w:w="-1026" w:type="dxa"/>
        <w:tblLayout w:type="fixed"/>
        <w:tblLook w:val="04A0" w:firstRow="1" w:lastRow="0" w:firstColumn="1" w:lastColumn="0" w:noHBand="0" w:noVBand="1"/>
      </w:tblPr>
      <w:tblGrid>
        <w:gridCol w:w="2042"/>
        <w:gridCol w:w="1610"/>
        <w:gridCol w:w="1843"/>
        <w:gridCol w:w="1309"/>
        <w:gridCol w:w="7797"/>
      </w:tblGrid>
      <w:tr w:rsidR="001C4B8B" w14:paraId="0ADA1483" w14:textId="77777777" w:rsidTr="00844BA5">
        <w:tc>
          <w:tcPr>
            <w:tcW w:w="2042" w:type="dxa"/>
          </w:tcPr>
          <w:p w14:paraId="46F395E2" w14:textId="77777777" w:rsidR="001C4B8B" w:rsidRDefault="001C4B8B" w:rsidP="001C4B8B">
            <w:pPr>
              <w:jc w:val="center"/>
            </w:pPr>
            <w:r>
              <w:t>Gericht</w:t>
            </w:r>
          </w:p>
        </w:tc>
        <w:tc>
          <w:tcPr>
            <w:tcW w:w="1610" w:type="dxa"/>
          </w:tcPr>
          <w:p w14:paraId="09C9C8C2" w14:textId="6C5C891A" w:rsidR="001C4B8B" w:rsidRDefault="001C4B8B" w:rsidP="001C4B8B">
            <w:pPr>
              <w:ind w:right="-202"/>
              <w:jc w:val="center"/>
            </w:pPr>
            <w:r>
              <w:t>Entscheidungs-datum</w:t>
            </w:r>
          </w:p>
        </w:tc>
        <w:tc>
          <w:tcPr>
            <w:tcW w:w="1843" w:type="dxa"/>
          </w:tcPr>
          <w:p w14:paraId="1D278329" w14:textId="77777777" w:rsidR="001C4B8B" w:rsidRDefault="001C4B8B" w:rsidP="001C4B8B">
            <w:pPr>
              <w:ind w:right="-173"/>
              <w:jc w:val="center"/>
            </w:pPr>
            <w:r>
              <w:t>Aktenzeichen</w:t>
            </w:r>
          </w:p>
        </w:tc>
        <w:tc>
          <w:tcPr>
            <w:tcW w:w="1309" w:type="dxa"/>
          </w:tcPr>
          <w:p w14:paraId="5241FFD9" w14:textId="77777777" w:rsidR="001C4B8B" w:rsidRDefault="001C4B8B" w:rsidP="001C4B8B">
            <w:pPr>
              <w:jc w:val="center"/>
            </w:pPr>
            <w:r>
              <w:t>Norm</w:t>
            </w:r>
          </w:p>
          <w:p w14:paraId="19683741" w14:textId="7B6676AD" w:rsidR="001C4B8B" w:rsidRDefault="001C4B8B" w:rsidP="001C4B8B">
            <w:pPr>
              <w:jc w:val="center"/>
            </w:pPr>
          </w:p>
        </w:tc>
        <w:tc>
          <w:tcPr>
            <w:tcW w:w="7797" w:type="dxa"/>
          </w:tcPr>
          <w:p w14:paraId="0FDF76B7" w14:textId="076A7070" w:rsidR="001C4B8B" w:rsidRDefault="001C4B8B" w:rsidP="001C4B8B">
            <w:pPr>
              <w:jc w:val="center"/>
            </w:pPr>
            <w:r>
              <w:t>Zusammenfassung</w:t>
            </w:r>
          </w:p>
        </w:tc>
      </w:tr>
      <w:tr w:rsidR="001C4B8B" w14:paraId="4DFB7B71" w14:textId="77777777" w:rsidTr="00844BA5">
        <w:tc>
          <w:tcPr>
            <w:tcW w:w="2042" w:type="dxa"/>
          </w:tcPr>
          <w:p w14:paraId="6B51AABF" w14:textId="77777777" w:rsidR="001C4B8B" w:rsidRDefault="001C4B8B">
            <w:r>
              <w:t>OLG Oldenburg (Oldenburg)</w:t>
            </w:r>
          </w:p>
        </w:tc>
        <w:tc>
          <w:tcPr>
            <w:tcW w:w="1610" w:type="dxa"/>
          </w:tcPr>
          <w:p w14:paraId="37105454" w14:textId="77777777" w:rsidR="001C4B8B" w:rsidRDefault="001C4B8B">
            <w:r>
              <w:t>24.03.2025</w:t>
            </w:r>
          </w:p>
        </w:tc>
        <w:tc>
          <w:tcPr>
            <w:tcW w:w="1843" w:type="dxa"/>
          </w:tcPr>
          <w:p w14:paraId="30B079B0" w14:textId="09539481" w:rsidR="001C4B8B" w:rsidRDefault="001C4B8B">
            <w:hyperlink r:id="rId6" w:history="1">
              <w:r w:rsidRPr="00B9516B">
                <w:rPr>
                  <w:rStyle w:val="Hyperlink"/>
                </w:rPr>
                <w:t>3 UF 108/23</w:t>
              </w:r>
            </w:hyperlink>
          </w:p>
          <w:p w14:paraId="087FE692" w14:textId="77777777" w:rsidR="001C4B8B" w:rsidRDefault="001C4B8B"/>
        </w:tc>
        <w:tc>
          <w:tcPr>
            <w:tcW w:w="1309" w:type="dxa"/>
          </w:tcPr>
          <w:p w14:paraId="374573AB" w14:textId="00E79CA3" w:rsidR="001C4B8B" w:rsidRDefault="001C4B8B">
            <w:r>
              <w:t>§ 27</w:t>
            </w:r>
          </w:p>
        </w:tc>
        <w:tc>
          <w:tcPr>
            <w:tcW w:w="7797" w:type="dxa"/>
          </w:tcPr>
          <w:p w14:paraId="2DBD3087" w14:textId="4E1C85CA" w:rsidR="001C4B8B" w:rsidRDefault="001C4B8B">
            <w:r>
              <w:t xml:space="preserve">Ein Versorgungsausgleich für eine private Berufsunfähigkeitsversicherung kann wegen </w:t>
            </w:r>
            <w:r w:rsidRPr="001C4B8B">
              <w:rPr>
                <w:b/>
              </w:rPr>
              <w:t>grober Unbilligkeit</w:t>
            </w:r>
            <w:r>
              <w:t xml:space="preserve"> ausgeschlossen sein, wenn der andere Ehegatte bereits eine Invaliditätsversorgung erhält, die dem Versorgungsausgleich nicht unterfällt (z.B. Versorgung aus d. gesetzl. Unfallversorgung)</w:t>
            </w:r>
          </w:p>
        </w:tc>
      </w:tr>
      <w:tr w:rsidR="001C4B8B" w14:paraId="56130405" w14:textId="77777777" w:rsidTr="00844BA5">
        <w:tc>
          <w:tcPr>
            <w:tcW w:w="2042" w:type="dxa"/>
          </w:tcPr>
          <w:p w14:paraId="43BB7412" w14:textId="77777777" w:rsidR="001C4B8B" w:rsidRDefault="001C4B8B">
            <w:r>
              <w:t>Brandenburgisches OLG</w:t>
            </w:r>
          </w:p>
        </w:tc>
        <w:tc>
          <w:tcPr>
            <w:tcW w:w="1610" w:type="dxa"/>
          </w:tcPr>
          <w:p w14:paraId="09609E19" w14:textId="77777777" w:rsidR="001C4B8B" w:rsidRDefault="001C4B8B">
            <w:r>
              <w:t>25.03.2025</w:t>
            </w:r>
          </w:p>
        </w:tc>
        <w:tc>
          <w:tcPr>
            <w:tcW w:w="1843" w:type="dxa"/>
          </w:tcPr>
          <w:p w14:paraId="5A9DEA77" w14:textId="0B22D1BA" w:rsidR="001C4B8B" w:rsidRDefault="001C4B8B">
            <w:hyperlink r:id="rId7" w:history="1">
              <w:r w:rsidRPr="00845292">
                <w:rPr>
                  <w:rStyle w:val="Hyperlink"/>
                </w:rPr>
                <w:t>13 UF 101/24</w:t>
              </w:r>
            </w:hyperlink>
          </w:p>
        </w:tc>
        <w:tc>
          <w:tcPr>
            <w:tcW w:w="1309" w:type="dxa"/>
          </w:tcPr>
          <w:p w14:paraId="2761C59A" w14:textId="5901F3C0" w:rsidR="001C4B8B" w:rsidRDefault="001C4B8B">
            <w:r>
              <w:t>§ 27</w:t>
            </w:r>
          </w:p>
        </w:tc>
        <w:tc>
          <w:tcPr>
            <w:tcW w:w="7797" w:type="dxa"/>
          </w:tcPr>
          <w:p w14:paraId="7738B8B6" w14:textId="7E73466D" w:rsidR="001C4B8B" w:rsidRDefault="001C4B8B">
            <w:r>
              <w:t>Ein Versorgungsausgleich kann bei vollständiger wirtschaftlicher Verselbständigung der Ehegatten über 25 Jahre Trennung eingeschränkt werden – dies ist aber keine automatische Folge der langen Trennung.</w:t>
            </w:r>
          </w:p>
        </w:tc>
      </w:tr>
      <w:tr w:rsidR="001C4B8B" w14:paraId="40D982C2" w14:textId="77777777" w:rsidTr="00844BA5">
        <w:tc>
          <w:tcPr>
            <w:tcW w:w="2042" w:type="dxa"/>
          </w:tcPr>
          <w:p w14:paraId="328E0EDB" w14:textId="77777777" w:rsidR="001C4B8B" w:rsidRDefault="001C4B8B">
            <w:r>
              <w:t>OLG Karlsruhe</w:t>
            </w:r>
          </w:p>
        </w:tc>
        <w:tc>
          <w:tcPr>
            <w:tcW w:w="1610" w:type="dxa"/>
          </w:tcPr>
          <w:p w14:paraId="0EDCB5A3" w14:textId="77777777" w:rsidR="001C4B8B" w:rsidRDefault="001C4B8B">
            <w:r>
              <w:t>26.03.2025</w:t>
            </w:r>
          </w:p>
        </w:tc>
        <w:tc>
          <w:tcPr>
            <w:tcW w:w="1843" w:type="dxa"/>
          </w:tcPr>
          <w:p w14:paraId="69661227" w14:textId="0AA05434" w:rsidR="001C4B8B" w:rsidRDefault="001C4B8B">
            <w:hyperlink r:id="rId8" w:history="1">
              <w:r w:rsidRPr="00845292">
                <w:rPr>
                  <w:rStyle w:val="Hyperlink"/>
                </w:rPr>
                <w:t>16 U</w:t>
              </w:r>
              <w:r w:rsidRPr="00845292">
                <w:rPr>
                  <w:rStyle w:val="Hyperlink"/>
                </w:rPr>
                <w:t>F</w:t>
              </w:r>
              <w:r w:rsidRPr="00845292">
                <w:rPr>
                  <w:rStyle w:val="Hyperlink"/>
                </w:rPr>
                <w:t xml:space="preserve"> 26/25</w:t>
              </w:r>
            </w:hyperlink>
          </w:p>
          <w:p w14:paraId="4430EC08" w14:textId="6DDA0105" w:rsidR="001C4B8B" w:rsidRDefault="001C4B8B"/>
        </w:tc>
        <w:tc>
          <w:tcPr>
            <w:tcW w:w="1309" w:type="dxa"/>
          </w:tcPr>
          <w:p w14:paraId="5CB56F13" w14:textId="77777777" w:rsidR="001C4B8B" w:rsidRDefault="001C4B8B"/>
        </w:tc>
        <w:tc>
          <w:tcPr>
            <w:tcW w:w="7797" w:type="dxa"/>
          </w:tcPr>
          <w:p w14:paraId="23DBC321" w14:textId="2A03AAA3" w:rsidR="001C4B8B" w:rsidRDefault="00BC1560">
            <w:r w:rsidRPr="00BC1560">
              <w:t>Wird im Wege der externen Teilung ein betriebliches Anrecht mit einem ab Ehezeitende zu verzinsenden Kapitalbetrag zugunsten der Deutschen Rentenversicherung als Zielversorgung begründet, hat dies bezogen auf den Zeitpunkt der Rechtskraft der Entscheidung zu erfolgen.</w:t>
            </w:r>
          </w:p>
        </w:tc>
      </w:tr>
      <w:tr w:rsidR="001C4B8B" w14:paraId="1DD1F135" w14:textId="77777777" w:rsidTr="00844BA5">
        <w:tc>
          <w:tcPr>
            <w:tcW w:w="2042" w:type="dxa"/>
          </w:tcPr>
          <w:p w14:paraId="737A2809" w14:textId="77777777" w:rsidR="001C4B8B" w:rsidRDefault="001C4B8B">
            <w:r>
              <w:t>Brandenburgisches OLG</w:t>
            </w:r>
          </w:p>
        </w:tc>
        <w:tc>
          <w:tcPr>
            <w:tcW w:w="1610" w:type="dxa"/>
          </w:tcPr>
          <w:p w14:paraId="305EE020" w14:textId="77777777" w:rsidR="001C4B8B" w:rsidRDefault="001C4B8B">
            <w:r>
              <w:t>01.04.2025</w:t>
            </w:r>
          </w:p>
        </w:tc>
        <w:tc>
          <w:tcPr>
            <w:tcW w:w="1843" w:type="dxa"/>
          </w:tcPr>
          <w:p w14:paraId="42C8F308" w14:textId="422A196A" w:rsidR="001C4B8B" w:rsidRDefault="001C4B8B">
            <w:hyperlink r:id="rId9" w:history="1">
              <w:r w:rsidRPr="00B9516B">
                <w:rPr>
                  <w:rStyle w:val="Hyperlink"/>
                </w:rPr>
                <w:t>3 UF 141/24</w:t>
              </w:r>
            </w:hyperlink>
          </w:p>
        </w:tc>
        <w:tc>
          <w:tcPr>
            <w:tcW w:w="1309" w:type="dxa"/>
          </w:tcPr>
          <w:p w14:paraId="5772E4DC" w14:textId="7A3C376E" w:rsidR="001C4B8B" w:rsidRDefault="001C4B8B">
            <w:r>
              <w:t>§ 14 IV</w:t>
            </w:r>
          </w:p>
        </w:tc>
        <w:tc>
          <w:tcPr>
            <w:tcW w:w="7797" w:type="dxa"/>
          </w:tcPr>
          <w:p w14:paraId="322057B8" w14:textId="78BD0280" w:rsidR="001C4B8B" w:rsidRDefault="001C4B8B">
            <w:r>
              <w:t>Bei externer Teilung betrieblicher Altersvorsorge ist der Versorgungsträger an den Ausgleichswert und die beantragte Zielversorgung gebunden; Verzinsungspflichten werden berücksichtigt.</w:t>
            </w:r>
            <w:r w:rsidR="00F32F78">
              <w:t xml:space="preserve"> (Fonds-Anteil einer Versorgung)</w:t>
            </w:r>
          </w:p>
        </w:tc>
      </w:tr>
      <w:tr w:rsidR="001C4B8B" w:rsidRPr="00844BA5" w14:paraId="068D2E17" w14:textId="77777777" w:rsidTr="00844BA5">
        <w:tc>
          <w:tcPr>
            <w:tcW w:w="2042" w:type="dxa"/>
          </w:tcPr>
          <w:p w14:paraId="1A1F3D0C" w14:textId="77777777" w:rsidR="001C4B8B" w:rsidRPr="00844BA5" w:rsidRDefault="001C4B8B">
            <w:pPr>
              <w:rPr>
                <w:b/>
              </w:rPr>
            </w:pPr>
            <w:r w:rsidRPr="00844BA5">
              <w:rPr>
                <w:b/>
              </w:rPr>
              <w:t>BGH</w:t>
            </w:r>
          </w:p>
        </w:tc>
        <w:tc>
          <w:tcPr>
            <w:tcW w:w="1610" w:type="dxa"/>
          </w:tcPr>
          <w:p w14:paraId="3B75B114" w14:textId="77777777" w:rsidR="001C4B8B" w:rsidRPr="00844BA5" w:rsidRDefault="001C4B8B">
            <w:pPr>
              <w:rPr>
                <w:b/>
              </w:rPr>
            </w:pPr>
            <w:r w:rsidRPr="00844BA5">
              <w:rPr>
                <w:b/>
              </w:rPr>
              <w:t>02.04.2025</w:t>
            </w:r>
          </w:p>
        </w:tc>
        <w:tc>
          <w:tcPr>
            <w:tcW w:w="1843" w:type="dxa"/>
          </w:tcPr>
          <w:p w14:paraId="2D171D31" w14:textId="0FA5A231" w:rsidR="001C4B8B" w:rsidRPr="00844BA5" w:rsidRDefault="001C4B8B">
            <w:pPr>
              <w:rPr>
                <w:b/>
              </w:rPr>
            </w:pPr>
            <w:hyperlink r:id="rId10" w:history="1">
              <w:r w:rsidRPr="00844BA5">
                <w:rPr>
                  <w:rStyle w:val="Hyperlink"/>
                  <w:b/>
                </w:rPr>
                <w:t>XII ZB 576/24</w:t>
              </w:r>
            </w:hyperlink>
          </w:p>
        </w:tc>
        <w:tc>
          <w:tcPr>
            <w:tcW w:w="1309" w:type="dxa"/>
          </w:tcPr>
          <w:p w14:paraId="61E79E48" w14:textId="66E92F3B" w:rsidR="001C4B8B" w:rsidRPr="00844BA5" w:rsidRDefault="00F32F78">
            <w:pPr>
              <w:rPr>
                <w:b/>
              </w:rPr>
            </w:pPr>
            <w:r w:rsidRPr="00844BA5">
              <w:rPr>
                <w:b/>
              </w:rPr>
              <w:t>§§ 51, 31</w:t>
            </w:r>
          </w:p>
        </w:tc>
        <w:tc>
          <w:tcPr>
            <w:tcW w:w="7797" w:type="dxa"/>
          </w:tcPr>
          <w:p w14:paraId="6AC79ADE" w14:textId="0B82D5A3" w:rsidR="001C4B8B" w:rsidRPr="00844BA5" w:rsidRDefault="00BC1560">
            <w:pPr>
              <w:rPr>
                <w:b/>
              </w:rPr>
            </w:pPr>
            <w:r w:rsidRPr="00BC1560">
              <w:rPr>
                <w:b/>
              </w:rPr>
              <w:t>Im Verfahren auf Abänderung des V</w:t>
            </w:r>
            <w:r>
              <w:rPr>
                <w:b/>
              </w:rPr>
              <w:t>A</w:t>
            </w:r>
            <w:r w:rsidRPr="00BC1560">
              <w:rPr>
                <w:b/>
              </w:rPr>
              <w:t>s nach Tod eines Ehe gatten sind gemäß § 88 Abs. 2 SGB VI die bisherigen persönlichen E</w:t>
            </w:r>
            <w:r>
              <w:rPr>
                <w:b/>
              </w:rPr>
              <w:t>P</w:t>
            </w:r>
            <w:r w:rsidRPr="00BC1560">
              <w:rPr>
                <w:b/>
              </w:rPr>
              <w:t xml:space="preserve"> des verstorbenen Versicherten nur dann für die Bewertung des Anrechts maßge bend, wenn ein neuer Rentenbezug spätestens innerhalb von 24 Kalendermona ten nach Ende des Bezugs der Versichertenrente wegen verminderter Erwerbs fähigkeit erfolgt (Abgrenzung zu Senatsbeschluss vom 23. August 2023 - XII ZB 202/22 - FamRZ 2023, 1858)</w:t>
            </w:r>
          </w:p>
        </w:tc>
      </w:tr>
      <w:tr w:rsidR="001C4B8B" w14:paraId="179DC34B" w14:textId="77777777" w:rsidTr="00844BA5">
        <w:tc>
          <w:tcPr>
            <w:tcW w:w="2042" w:type="dxa"/>
          </w:tcPr>
          <w:p w14:paraId="712DCA25" w14:textId="77777777" w:rsidR="001C4B8B" w:rsidRDefault="001C4B8B">
            <w:r>
              <w:t>BSG</w:t>
            </w:r>
          </w:p>
        </w:tc>
        <w:tc>
          <w:tcPr>
            <w:tcW w:w="1610" w:type="dxa"/>
          </w:tcPr>
          <w:p w14:paraId="04B0EA93" w14:textId="77777777" w:rsidR="001C4B8B" w:rsidRDefault="001C4B8B">
            <w:r>
              <w:t>02.04.2025</w:t>
            </w:r>
          </w:p>
        </w:tc>
        <w:tc>
          <w:tcPr>
            <w:tcW w:w="1843" w:type="dxa"/>
          </w:tcPr>
          <w:p w14:paraId="1223CA12" w14:textId="2DEC392A" w:rsidR="001C4B8B" w:rsidRDefault="001C4B8B">
            <w:hyperlink r:id="rId11" w:history="1">
              <w:r w:rsidRPr="00845292">
                <w:rPr>
                  <w:rStyle w:val="Hyperlink"/>
                </w:rPr>
                <w:t>B 5 R 121/24 B</w:t>
              </w:r>
            </w:hyperlink>
          </w:p>
        </w:tc>
        <w:tc>
          <w:tcPr>
            <w:tcW w:w="1309" w:type="dxa"/>
          </w:tcPr>
          <w:p w14:paraId="39929E3C" w14:textId="77777777" w:rsidR="001C4B8B" w:rsidRDefault="001C4B8B"/>
        </w:tc>
        <w:tc>
          <w:tcPr>
            <w:tcW w:w="7797" w:type="dxa"/>
          </w:tcPr>
          <w:p w14:paraId="020BBEA7" w14:textId="7099B8EB" w:rsidR="001C4B8B" w:rsidRDefault="001C4B8B">
            <w:r>
              <w:t>Versorgungsausgleichs-Anrechte begründen keine Pflichtbeitragszeiten</w:t>
            </w:r>
            <w:r w:rsidR="00F32F78">
              <w:t xml:space="preserve"> gem. </w:t>
            </w:r>
            <w:hyperlink r:id="rId12" w:history="1">
              <w:r w:rsidR="00F32F78" w:rsidRPr="00F32F78">
                <w:rPr>
                  <w:rStyle w:val="Hyperlink"/>
                </w:rPr>
                <w:t>§ 43 II S. 1 Nr. 2 SGB VI</w:t>
              </w:r>
            </w:hyperlink>
            <w:r>
              <w:t xml:space="preserve"> für Erwerbsminderungsrente;</w:t>
            </w:r>
            <w:r w:rsidR="00F32F78">
              <w:t xml:space="preserve"> </w:t>
            </w:r>
          </w:p>
        </w:tc>
      </w:tr>
      <w:tr w:rsidR="001C4B8B" w14:paraId="66F32B94" w14:textId="77777777" w:rsidTr="00844BA5">
        <w:tc>
          <w:tcPr>
            <w:tcW w:w="2042" w:type="dxa"/>
          </w:tcPr>
          <w:p w14:paraId="1A59D7B0" w14:textId="77777777" w:rsidR="001C4B8B" w:rsidRDefault="001C4B8B">
            <w:r>
              <w:t>OLG Karlsruhe</w:t>
            </w:r>
          </w:p>
        </w:tc>
        <w:tc>
          <w:tcPr>
            <w:tcW w:w="1610" w:type="dxa"/>
          </w:tcPr>
          <w:p w14:paraId="03B43157" w14:textId="77777777" w:rsidR="001C4B8B" w:rsidRDefault="001C4B8B">
            <w:r>
              <w:t>08.04.2025</w:t>
            </w:r>
          </w:p>
        </w:tc>
        <w:tc>
          <w:tcPr>
            <w:tcW w:w="1843" w:type="dxa"/>
          </w:tcPr>
          <w:p w14:paraId="32D58523" w14:textId="73B52FB2" w:rsidR="001C4B8B" w:rsidRDefault="001C4B8B">
            <w:hyperlink r:id="rId13" w:history="1">
              <w:r w:rsidRPr="00845292">
                <w:rPr>
                  <w:rStyle w:val="Hyperlink"/>
                </w:rPr>
                <w:t>2 UF 50/25</w:t>
              </w:r>
            </w:hyperlink>
          </w:p>
        </w:tc>
        <w:tc>
          <w:tcPr>
            <w:tcW w:w="1309" w:type="dxa"/>
          </w:tcPr>
          <w:p w14:paraId="041BAF64" w14:textId="29DDFD6B" w:rsidR="001C4B8B" w:rsidRDefault="00792AAF">
            <w:r>
              <w:t xml:space="preserve">§ 17, </w:t>
            </w:r>
            <w:r w:rsidR="00844BA5">
              <w:t>(</w:t>
            </w:r>
            <w:r>
              <w:t>Adäquanz</w:t>
            </w:r>
            <w:r w:rsidR="00844BA5">
              <w:t>-</w:t>
            </w:r>
            <w:r>
              <w:t>prüfung Rn. 16</w:t>
            </w:r>
            <w:r w:rsidR="00844BA5">
              <w:t>)</w:t>
            </w:r>
          </w:p>
        </w:tc>
        <w:tc>
          <w:tcPr>
            <w:tcW w:w="7797" w:type="dxa"/>
          </w:tcPr>
          <w:p w14:paraId="446161D6" w14:textId="642714AD" w:rsidR="001C4B8B" w:rsidRDefault="00792AAF">
            <w:r w:rsidRPr="00792AAF">
              <w:t xml:space="preserve">Ist die gesetzliche Rentenversicherung im Fall der externen Teilung die Zielversorgung </w:t>
            </w:r>
            <w:r w:rsidRPr="00792AAF">
              <w:rPr>
                <w:b/>
              </w:rPr>
              <w:t>und ist der Kapitalbetrag zu verzinsen</w:t>
            </w:r>
            <w:r w:rsidRPr="00792AAF">
              <w:t xml:space="preserve">, ist der Kapitalbetrag anhand </w:t>
            </w:r>
            <w:r w:rsidRPr="00BC1560">
              <w:rPr>
                <w:b/>
              </w:rPr>
              <w:t>der bei Rechtskraft der Entscheidung geltenden Umrechnungsfaktoren</w:t>
            </w:r>
            <w:r w:rsidRPr="00792AAF">
              <w:t xml:space="preserve"> in Entgeltpunkte umzurechnen </w:t>
            </w:r>
            <w:r w:rsidRPr="00792AAF">
              <w:rPr>
                <w:b/>
              </w:rPr>
              <w:t>und die Teilung ist auf den Zeitpunkt der Rechtskraft der Entscheidung zu beziehen</w:t>
            </w:r>
            <w:r w:rsidR="001C4B8B">
              <w:t>.</w:t>
            </w:r>
          </w:p>
        </w:tc>
      </w:tr>
      <w:tr w:rsidR="001C4B8B" w14:paraId="78866733" w14:textId="77777777" w:rsidTr="00844BA5">
        <w:tc>
          <w:tcPr>
            <w:tcW w:w="2042" w:type="dxa"/>
          </w:tcPr>
          <w:p w14:paraId="19DBA8A1" w14:textId="77777777" w:rsidR="001C4B8B" w:rsidRDefault="001C4B8B">
            <w:r>
              <w:t>OLG Bamberg</w:t>
            </w:r>
          </w:p>
        </w:tc>
        <w:tc>
          <w:tcPr>
            <w:tcW w:w="1610" w:type="dxa"/>
          </w:tcPr>
          <w:p w14:paraId="1AE0F67E" w14:textId="77777777" w:rsidR="001C4B8B" w:rsidRDefault="001C4B8B">
            <w:r>
              <w:t>14.04.2025</w:t>
            </w:r>
          </w:p>
        </w:tc>
        <w:tc>
          <w:tcPr>
            <w:tcW w:w="1843" w:type="dxa"/>
          </w:tcPr>
          <w:p w14:paraId="435CF69F" w14:textId="0F3895FC" w:rsidR="001C4B8B" w:rsidRDefault="001C4B8B">
            <w:hyperlink r:id="rId14" w:history="1">
              <w:r w:rsidRPr="0091153F">
                <w:rPr>
                  <w:rStyle w:val="Hyperlink"/>
                </w:rPr>
                <w:t>7 UF 57/25 e</w:t>
              </w:r>
            </w:hyperlink>
          </w:p>
        </w:tc>
        <w:tc>
          <w:tcPr>
            <w:tcW w:w="1309" w:type="dxa"/>
          </w:tcPr>
          <w:p w14:paraId="4C659C06" w14:textId="0B95B176" w:rsidR="00792AAF" w:rsidRDefault="00792AAF">
            <w:r>
              <w:t>§ 18 II Gr</w:t>
            </w:r>
            <w:r w:rsidR="00844BA5">
              <w:t>-</w:t>
            </w:r>
            <w:r>
              <w:t>renten-EP</w:t>
            </w:r>
          </w:p>
        </w:tc>
        <w:tc>
          <w:tcPr>
            <w:tcW w:w="7797" w:type="dxa"/>
          </w:tcPr>
          <w:p w14:paraId="606E0A1A" w14:textId="35244B32" w:rsidR="001C4B8B" w:rsidRDefault="001C4B8B">
            <w:r w:rsidRPr="00792AAF">
              <w:rPr>
                <w:b/>
              </w:rPr>
              <w:t>Grundrenten-Entgeltpunkte</w:t>
            </w:r>
            <w:r>
              <w:t xml:space="preserve"> können wegen Verwaltungsaufwands und Geringfügigkeit vom Versorgungsausgleich ausgeschlossen werden.</w:t>
            </w:r>
          </w:p>
        </w:tc>
      </w:tr>
      <w:tr w:rsidR="001C4B8B" w14:paraId="24AE9766" w14:textId="77777777" w:rsidTr="00844BA5">
        <w:tc>
          <w:tcPr>
            <w:tcW w:w="2042" w:type="dxa"/>
          </w:tcPr>
          <w:p w14:paraId="573214F9" w14:textId="77777777" w:rsidR="001C4B8B" w:rsidRDefault="001C4B8B">
            <w:r>
              <w:t>OLG Karlsruhe</w:t>
            </w:r>
          </w:p>
        </w:tc>
        <w:tc>
          <w:tcPr>
            <w:tcW w:w="1610" w:type="dxa"/>
          </w:tcPr>
          <w:p w14:paraId="375B81A1" w14:textId="77777777" w:rsidR="001C4B8B" w:rsidRDefault="001C4B8B">
            <w:r>
              <w:t>03.03.2025</w:t>
            </w:r>
          </w:p>
        </w:tc>
        <w:tc>
          <w:tcPr>
            <w:tcW w:w="1843" w:type="dxa"/>
          </w:tcPr>
          <w:p w14:paraId="4C88C9EA" w14:textId="228418B5" w:rsidR="001C4B8B" w:rsidRDefault="001C4B8B">
            <w:hyperlink r:id="rId15" w:history="1">
              <w:r w:rsidRPr="0091153F">
                <w:rPr>
                  <w:rStyle w:val="Hyperlink"/>
                </w:rPr>
                <w:t>20 UF 66/24</w:t>
              </w:r>
            </w:hyperlink>
          </w:p>
        </w:tc>
        <w:tc>
          <w:tcPr>
            <w:tcW w:w="1309" w:type="dxa"/>
          </w:tcPr>
          <w:p w14:paraId="5D409055" w14:textId="4763FF9D" w:rsidR="001C4B8B" w:rsidRDefault="00844BA5">
            <w:r>
              <w:t>§ 18 I</w:t>
            </w:r>
          </w:p>
        </w:tc>
        <w:tc>
          <w:tcPr>
            <w:tcW w:w="7797" w:type="dxa"/>
          </w:tcPr>
          <w:p w14:paraId="36B6FA56" w14:textId="2B515FC3" w:rsidR="001C4B8B" w:rsidRDefault="001C4B8B">
            <w:r>
              <w:t>Anrechte aus Pflichtversicherungen bei verschiedenen Zusatzversorgungs</w:t>
            </w:r>
            <w:r w:rsidR="00844BA5">
              <w:t>-</w:t>
            </w:r>
            <w:r>
              <w:t>trägern können trotz steuerlicher Unterschiede gleichartig im Sinne von § 18 VersAusglG sein.</w:t>
            </w:r>
          </w:p>
        </w:tc>
      </w:tr>
      <w:tr w:rsidR="001C4B8B" w14:paraId="7DA9B9EE" w14:textId="77777777" w:rsidTr="00844BA5">
        <w:tc>
          <w:tcPr>
            <w:tcW w:w="2042" w:type="dxa"/>
          </w:tcPr>
          <w:p w14:paraId="58F2FBF2" w14:textId="77777777" w:rsidR="001C4B8B" w:rsidRDefault="001C4B8B">
            <w:r>
              <w:t>Brandenburgisches OLG</w:t>
            </w:r>
          </w:p>
        </w:tc>
        <w:tc>
          <w:tcPr>
            <w:tcW w:w="1610" w:type="dxa"/>
          </w:tcPr>
          <w:p w14:paraId="7CB84F39" w14:textId="77777777" w:rsidR="001C4B8B" w:rsidRDefault="001C4B8B">
            <w:r>
              <w:t>17.03.2025</w:t>
            </w:r>
          </w:p>
        </w:tc>
        <w:tc>
          <w:tcPr>
            <w:tcW w:w="1843" w:type="dxa"/>
          </w:tcPr>
          <w:p w14:paraId="45C43584" w14:textId="360D7500" w:rsidR="001C4B8B" w:rsidRDefault="001C4B8B">
            <w:hyperlink r:id="rId16" w:history="1">
              <w:r w:rsidRPr="0091153F">
                <w:rPr>
                  <w:rStyle w:val="Hyperlink"/>
                </w:rPr>
                <w:t>9 UF 29/25</w:t>
              </w:r>
            </w:hyperlink>
          </w:p>
        </w:tc>
        <w:tc>
          <w:tcPr>
            <w:tcW w:w="1309" w:type="dxa"/>
          </w:tcPr>
          <w:p w14:paraId="13BE5B3D" w14:textId="48745E95" w:rsidR="001C4B8B" w:rsidRDefault="00844BA5">
            <w:r>
              <w:t>§ 18 I</w:t>
            </w:r>
          </w:p>
        </w:tc>
        <w:tc>
          <w:tcPr>
            <w:tcW w:w="7797" w:type="dxa"/>
          </w:tcPr>
          <w:p w14:paraId="1345F3E1" w14:textId="1EA97D6A" w:rsidR="001C4B8B" w:rsidRDefault="001C4B8B">
            <w:r>
              <w:t xml:space="preserve">Bei gleichartigen gesetzlichen Rentenanrechten findet </w:t>
            </w:r>
            <w:hyperlink r:id="rId17" w:history="1">
              <w:r w:rsidRPr="00844BA5">
                <w:rPr>
                  <w:rStyle w:val="Hyperlink"/>
                </w:rPr>
                <w:t>§ 18 Abs. 2 VersAusglG</w:t>
              </w:r>
            </w:hyperlink>
            <w:r>
              <w:t xml:space="preserve"> keine Anwendung, wenn die Ausgleichsdifferenz die Bagatellgrenze überschreitet.</w:t>
            </w:r>
          </w:p>
        </w:tc>
      </w:tr>
      <w:tr w:rsidR="001C4B8B" w14:paraId="7D6FFB60" w14:textId="77777777" w:rsidTr="00844BA5">
        <w:tc>
          <w:tcPr>
            <w:tcW w:w="2042" w:type="dxa"/>
          </w:tcPr>
          <w:p w14:paraId="734ECC54" w14:textId="77777777" w:rsidR="001C4B8B" w:rsidRDefault="001C4B8B">
            <w:r>
              <w:lastRenderedPageBreak/>
              <w:t>OLG Frankfurt</w:t>
            </w:r>
          </w:p>
        </w:tc>
        <w:tc>
          <w:tcPr>
            <w:tcW w:w="1610" w:type="dxa"/>
          </w:tcPr>
          <w:p w14:paraId="3101AFDF" w14:textId="77777777" w:rsidR="001C4B8B" w:rsidRDefault="001C4B8B">
            <w:r>
              <w:t>25.04.2025</w:t>
            </w:r>
          </w:p>
        </w:tc>
        <w:tc>
          <w:tcPr>
            <w:tcW w:w="1843" w:type="dxa"/>
          </w:tcPr>
          <w:p w14:paraId="28C4D382" w14:textId="775FDA66" w:rsidR="001C4B8B" w:rsidRDefault="001C4B8B">
            <w:hyperlink r:id="rId18" w:history="1">
              <w:r w:rsidRPr="0091153F">
                <w:rPr>
                  <w:rStyle w:val="Hyperlink"/>
                </w:rPr>
                <w:t>7 UF 127/24</w:t>
              </w:r>
            </w:hyperlink>
          </w:p>
        </w:tc>
        <w:tc>
          <w:tcPr>
            <w:tcW w:w="1309" w:type="dxa"/>
          </w:tcPr>
          <w:p w14:paraId="2262E1B2" w14:textId="06531038" w:rsidR="001C4B8B" w:rsidRDefault="00844BA5">
            <w:r>
              <w:t>§ 18 I</w:t>
            </w:r>
          </w:p>
        </w:tc>
        <w:tc>
          <w:tcPr>
            <w:tcW w:w="7797" w:type="dxa"/>
          </w:tcPr>
          <w:p w14:paraId="21F2DF5F" w14:textId="517535A0" w:rsidR="001C4B8B" w:rsidRDefault="001C4B8B">
            <w:r>
              <w:t xml:space="preserve">VBL- und KZVK-Anrechte sind gleichartig i.S.v. </w:t>
            </w:r>
            <w:hyperlink r:id="rId19" w:history="1">
              <w:r w:rsidRPr="00844BA5">
                <w:rPr>
                  <w:rStyle w:val="Hyperlink"/>
                </w:rPr>
                <w:t>§ 18 Abs. 1 VersAusglG</w:t>
              </w:r>
            </w:hyperlink>
            <w:r>
              <w:t>; die potenziell unterschiedliche steuerliche Behandlung in der Leistungsphase ist für die Gleichartigkeit unerheblich. Geringfügige Differenzen rechtfertigen den Ausschluss vom Versorgungsausgleich im Sinne der Verwaltungsvereinfachung.</w:t>
            </w:r>
          </w:p>
        </w:tc>
      </w:tr>
    </w:tbl>
    <w:p w14:paraId="4C0B9719" w14:textId="2DF4B1B0" w:rsidR="00844BA5" w:rsidRDefault="00844BA5" w:rsidP="00844BA5"/>
    <w:sectPr w:rsidR="00844BA5" w:rsidSect="00844BA5">
      <w:pgSz w:w="15840" w:h="12240" w:orient="landscape"/>
      <w:pgMar w:top="709"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561554311">
    <w:abstractNumId w:val="8"/>
  </w:num>
  <w:num w:numId="2" w16cid:durableId="1896702621">
    <w:abstractNumId w:val="6"/>
  </w:num>
  <w:num w:numId="3" w16cid:durableId="335306077">
    <w:abstractNumId w:val="5"/>
  </w:num>
  <w:num w:numId="4" w16cid:durableId="1458797300">
    <w:abstractNumId w:val="4"/>
  </w:num>
  <w:num w:numId="5" w16cid:durableId="971638711">
    <w:abstractNumId w:val="7"/>
  </w:num>
  <w:num w:numId="6" w16cid:durableId="216288145">
    <w:abstractNumId w:val="3"/>
  </w:num>
  <w:num w:numId="7" w16cid:durableId="291987262">
    <w:abstractNumId w:val="2"/>
  </w:num>
  <w:num w:numId="8" w16cid:durableId="812019489">
    <w:abstractNumId w:val="1"/>
  </w:num>
  <w:num w:numId="9" w16cid:durableId="182192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037F"/>
    <w:rsid w:val="001C4B8B"/>
    <w:rsid w:val="0029639D"/>
    <w:rsid w:val="00326F90"/>
    <w:rsid w:val="00792AAF"/>
    <w:rsid w:val="00844BA5"/>
    <w:rsid w:val="00845292"/>
    <w:rsid w:val="008D7227"/>
    <w:rsid w:val="0091153F"/>
    <w:rsid w:val="00AA1D8D"/>
    <w:rsid w:val="00B47730"/>
    <w:rsid w:val="00B9516B"/>
    <w:rsid w:val="00BC1560"/>
    <w:rsid w:val="00CB0664"/>
    <w:rsid w:val="00DB5DCF"/>
    <w:rsid w:val="00F32F78"/>
    <w:rsid w:val="00FC693F"/>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88781"/>
  <w14:defaultImageDpi w14:val="300"/>
  <w15:docId w15:val="{CBA27A38-82FA-4FD9-BF5A-D90AC252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B9516B"/>
    <w:rPr>
      <w:color w:val="0000FF" w:themeColor="hyperlink"/>
      <w:u w:val="single"/>
    </w:rPr>
  </w:style>
  <w:style w:type="character" w:styleId="NichtaufgelsteErwhnung">
    <w:name w:val="Unresolved Mention"/>
    <w:basedOn w:val="Absatz-Standardschriftart"/>
    <w:uiPriority w:val="99"/>
    <w:semiHidden/>
    <w:unhideWhenUsed/>
    <w:rsid w:val="00B9516B"/>
    <w:rPr>
      <w:color w:val="605E5C"/>
      <w:shd w:val="clear" w:color="auto" w:fill="E1DFDD"/>
    </w:rPr>
  </w:style>
  <w:style w:type="character" w:styleId="BesuchterLink">
    <w:name w:val="FollowedHyperlink"/>
    <w:basedOn w:val="Absatz-Standardschriftart"/>
    <w:uiPriority w:val="99"/>
    <w:semiHidden/>
    <w:unhideWhenUsed/>
    <w:rsid w:val="00B95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recht-bw.de/bsbw/document/NJRE001606966" TargetMode="External"/><Relationship Id="rId13" Type="http://schemas.openxmlformats.org/officeDocument/2006/relationships/hyperlink" Target="https://www.landesrecht-bw.de/bsbw/document/NJRE001607157" TargetMode="External"/><Relationship Id="rId18" Type="http://schemas.openxmlformats.org/officeDocument/2006/relationships/hyperlink" Target="https://www.rv.hessenrecht.hessen.de/bshe/document/LARE2500005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erichtsentscheidungen.brandenburg.de/gerichtsentscheidung/26364" TargetMode="External"/><Relationship Id="rId12" Type="http://schemas.openxmlformats.org/officeDocument/2006/relationships/hyperlink" Target="https://www.gesetze-im-internet.de/sgb_6/__43.html" TargetMode="External"/><Relationship Id="rId17" Type="http://schemas.openxmlformats.org/officeDocument/2006/relationships/hyperlink" Target="https://www.gesetze-im-internet.de/versausglg/__18.html" TargetMode="External"/><Relationship Id="rId2" Type="http://schemas.openxmlformats.org/officeDocument/2006/relationships/numbering" Target="numbering.xml"/><Relationship Id="rId16" Type="http://schemas.openxmlformats.org/officeDocument/2006/relationships/hyperlink" Target="https://gerichtsentscheidungen.brandenburg.de/gerichtsentscheidung/264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oris.wolterskluwer-online.de/browse/document/b5e89d1f-fa09-45ab-a588-4897de2056f1" TargetMode="External"/><Relationship Id="rId11" Type="http://schemas.openxmlformats.org/officeDocument/2006/relationships/hyperlink" Target="https://www.anwalt24.de/urteile/bsg/2025-04-02/b-5-r-121_24-b" TargetMode="External"/><Relationship Id="rId5" Type="http://schemas.openxmlformats.org/officeDocument/2006/relationships/webSettings" Target="webSettings.xml"/><Relationship Id="rId15" Type="http://schemas.openxmlformats.org/officeDocument/2006/relationships/hyperlink" Target="20%20UF%2066/24" TargetMode="External"/><Relationship Id="rId10" Type="http://schemas.openxmlformats.org/officeDocument/2006/relationships/hyperlink" Target="https://juris.bundesgerichtshof.de/cgi-bin/rechtsprechung/document.py?Gericht=bgh&amp;Art=en&amp;Datum=Aktuell&amp;Sort=12288&amp;nr=141575&amp;anz=1144&amp;pos=8" TargetMode="External"/><Relationship Id="rId19" Type="http://schemas.openxmlformats.org/officeDocument/2006/relationships/hyperlink" Target="https://www.gesetze-im-internet.de/versausglg/__18.html" TargetMode="External"/><Relationship Id="rId4" Type="http://schemas.openxmlformats.org/officeDocument/2006/relationships/settings" Target="settings.xml"/><Relationship Id="rId9" Type="http://schemas.openxmlformats.org/officeDocument/2006/relationships/hyperlink" Target="https://www.juris.de/r3/document/NJRE001607350" TargetMode="External"/><Relationship Id="rId14" Type="http://schemas.openxmlformats.org/officeDocument/2006/relationships/hyperlink" Target="https://www.gesetze-bayern.de/Content/Document/Y-300-Z-BECKRS-B-2025-N-11019?h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Hauß</cp:lastModifiedBy>
  <cp:revision>3</cp:revision>
  <dcterms:created xsi:type="dcterms:W3CDTF">2013-12-23T23:15:00Z</dcterms:created>
  <dcterms:modified xsi:type="dcterms:W3CDTF">2025-06-03T21:07:00Z</dcterms:modified>
  <cp:category/>
</cp:coreProperties>
</file>